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8F" w:rsidRDefault="00C31B8F" w:rsidP="00C31B8F">
      <w:pPr>
        <w:widowControl w:val="0"/>
        <w:suppressAutoHyphens/>
        <w:ind w:firstLine="720"/>
        <w:jc w:val="center"/>
        <w:rPr>
          <w:rFonts w:ascii="SchoolBookCTT" w:hAnsi="SchoolBookCTT"/>
          <w:b/>
          <w:lang w:val="uk-UA"/>
        </w:rPr>
      </w:pPr>
      <w:r w:rsidRPr="00C31B8F">
        <w:rPr>
          <w:rFonts w:ascii="SchoolBookCTT" w:hAnsi="SchoolBookCTT"/>
          <w:b/>
          <w:lang w:val="uk-UA"/>
        </w:rPr>
        <w:t xml:space="preserve">Тема </w:t>
      </w:r>
      <w:r>
        <w:rPr>
          <w:rFonts w:ascii="SchoolBookCTT" w:hAnsi="SchoolBookCTT"/>
          <w:b/>
          <w:lang w:val="uk-UA"/>
        </w:rPr>
        <w:t>6</w:t>
      </w:r>
    </w:p>
    <w:p w:rsidR="00C31B8F" w:rsidRDefault="00C31B8F" w:rsidP="00C31B8F">
      <w:pPr>
        <w:widowControl w:val="0"/>
        <w:suppressAutoHyphens/>
        <w:ind w:firstLine="720"/>
        <w:jc w:val="center"/>
        <w:rPr>
          <w:rFonts w:ascii="SchoolBookCTT" w:hAnsi="SchoolBookCTT"/>
          <w:lang w:val="uk-UA"/>
        </w:rPr>
      </w:pPr>
      <w:r w:rsidRPr="00C31B8F">
        <w:rPr>
          <w:rFonts w:ascii="SchoolBookCTT" w:hAnsi="SchoolBookCTT"/>
          <w:b/>
          <w:lang w:val="uk-UA"/>
        </w:rPr>
        <w:t xml:space="preserve"> </w:t>
      </w:r>
      <w:r>
        <w:rPr>
          <w:rFonts w:ascii="SchoolBookCTT" w:hAnsi="SchoolBookCTT"/>
          <w:b/>
          <w:lang w:val="uk-UA"/>
        </w:rPr>
        <w:t>«</w:t>
      </w:r>
      <w:r w:rsidRPr="00F60CB5">
        <w:rPr>
          <w:rFonts w:ascii="SchoolBookCTT" w:hAnsi="SchoolBookCTT"/>
          <w:b/>
          <w:lang w:val="uk-UA"/>
        </w:rPr>
        <w:t>Токсикоманії та проблеми пацієнтів з токсикоманіями</w:t>
      </w:r>
      <w:r>
        <w:rPr>
          <w:rFonts w:ascii="SchoolBookCTT" w:hAnsi="SchoolBookCTT"/>
          <w:b/>
          <w:lang w:val="uk-UA"/>
        </w:rPr>
        <w:t>»</w:t>
      </w:r>
      <w:r w:rsidRPr="00F60CB5">
        <w:rPr>
          <w:rFonts w:ascii="SchoolBookCTT" w:hAnsi="SchoolBookCTT"/>
          <w:b/>
          <w:lang w:val="uk-UA"/>
        </w:rPr>
        <w:t>.</w:t>
      </w: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b/>
          <w:i/>
          <w:lang w:val="uk-UA"/>
        </w:rPr>
      </w:pPr>
    </w:p>
    <w:p w:rsidR="00C31B8F" w:rsidRPr="00C31B8F" w:rsidRDefault="00C31B8F" w:rsidP="00C31B8F">
      <w:pPr>
        <w:widowControl w:val="0"/>
        <w:suppressAutoHyphens/>
        <w:ind w:firstLine="720"/>
        <w:jc w:val="center"/>
        <w:rPr>
          <w:rFonts w:ascii="SchoolBookCTT" w:hAnsi="SchoolBookCTT"/>
          <w:b/>
          <w:lang w:val="uk-UA"/>
        </w:rPr>
      </w:pPr>
      <w:r w:rsidRPr="00C31B8F">
        <w:rPr>
          <w:rFonts w:ascii="SchoolBookCTT" w:hAnsi="SchoolBookCTT"/>
          <w:b/>
          <w:lang w:val="uk-UA"/>
        </w:rPr>
        <w:t>Питання для підготовки до заняття.</w:t>
      </w:r>
    </w:p>
    <w:p w:rsidR="00C31B8F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lang w:val="uk-UA"/>
        </w:rPr>
      </w:pP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lang w:val="uk-UA"/>
        </w:rPr>
        <w:t>Визначення поняття “токсикоманії” та проблеми пацієнтів з токсикоманіями.</w:t>
      </w:r>
      <w:r w:rsidRPr="00F60CB5">
        <w:rPr>
          <w:rFonts w:ascii="SchoolBookCTT" w:hAnsi="SchoolBookCTT"/>
          <w:szCs w:val="28"/>
          <w:lang w:val="uk-UA"/>
        </w:rPr>
        <w:t xml:space="preserve"> Поняття про токсичні речовини з медико-соціальних та медико-юридичних позицій.</w:t>
      </w: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Причини розвитку токсикоманій. Епідеміологія токсикоманій. Види токсикоманій.</w:t>
      </w: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Токсикоманії снодійними препаратами і транквілізаторами. Клінічна картина стану сп’яніння, абстинентного синдрому, диференційно-діагностичні критерії. Політоксикоманії.</w:t>
      </w: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Роль медичної сестри в проведенні експертизи наркотичного сп’яніння.</w:t>
      </w: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Невідкладна допомога при токсичному отруєнні.</w:t>
      </w: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 xml:space="preserve">Етапність лікування хворих на токсикоманії. Піротерапія. Психофармакотерапія. Атропін-коматозна терапія. Інсулінотерапія, загальнозміцнювальне лікування, фізіотерапія. Підтримувальна протирецидивна терапія. </w:t>
      </w: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Допомога медичної сестри під час проведення різних видів лікування токсикоманій.</w:t>
      </w: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Облік, зберігання, використання, знешкодження ампул з-під використаних токсичних речовин.</w:t>
      </w: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 xml:space="preserve">Облік використання і списання використаних медичних шприців для ін’єкцій. </w:t>
      </w: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Принципи профілактичного спостереження та обліку осіб, схильних до немедичного вживання токсичних речовин.</w:t>
      </w: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 xml:space="preserve">Робота з педагогічними колективами шкіл, вищих і середніх навчальних закладів з метою виявлення осіб, що мають схильність до зловживання токсичних речовин. </w:t>
      </w: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i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Санітарно-освітня робота.</w:t>
      </w: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b/>
          <w:i/>
          <w:szCs w:val="28"/>
          <w:lang w:val="uk-UA"/>
        </w:rPr>
      </w:pPr>
    </w:p>
    <w:p w:rsidR="00C31B8F" w:rsidRPr="00F60CB5" w:rsidRDefault="00C31B8F" w:rsidP="00C31B8F">
      <w:pPr>
        <w:widowControl w:val="0"/>
        <w:suppressAutoHyphens/>
        <w:ind w:firstLine="720"/>
        <w:rPr>
          <w:rFonts w:ascii="SchoolBookCTT" w:hAnsi="SchoolBookCTT"/>
          <w:b/>
          <w:i/>
          <w:szCs w:val="28"/>
          <w:lang w:val="uk-UA"/>
        </w:rPr>
      </w:pP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Клінічна картина барбітуроманії. Демонстрація хворих. Полінаркоманії.</w:t>
      </w: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Ознаки гострої інтоксикації барбітуратами; роль медичної сестри в діагностиці цих станів.</w:t>
      </w: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Принципи лікування токсикоманій. Синдром відміни токсичних речовин. Зняття абстинентного синдрому. Тактика медичного персоналу щодо хворих на токсикоманію та їх близьких. Запобігання таємному вживанню токсичних речовин.</w:t>
      </w: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Участь медичної сестри в лікуванні пацієнтів із залежністю від токсичних речовин. Експертиза. Прогноз. Профілактика токсикоманій.</w:t>
      </w:r>
    </w:p>
    <w:p w:rsidR="00C31B8F" w:rsidRPr="00F60CB5" w:rsidRDefault="00C31B8F" w:rsidP="00C31B8F">
      <w:pPr>
        <w:widowControl w:val="0"/>
        <w:suppressAutoHyphens/>
        <w:ind w:firstLine="720"/>
        <w:jc w:val="center"/>
        <w:rPr>
          <w:rFonts w:ascii="SchoolBookCTT" w:hAnsi="SchoolBookCTT"/>
          <w:b/>
          <w:i/>
          <w:szCs w:val="28"/>
          <w:lang w:val="uk-UA"/>
        </w:rPr>
      </w:pP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b/>
          <w:i/>
          <w:szCs w:val="28"/>
          <w:lang w:val="uk-UA"/>
        </w:rPr>
      </w:pPr>
      <w:r w:rsidRPr="00F60CB5">
        <w:rPr>
          <w:rFonts w:ascii="SchoolBookCTT" w:hAnsi="SchoolBookCTT"/>
          <w:b/>
          <w:i/>
          <w:szCs w:val="28"/>
          <w:lang w:val="uk-UA"/>
        </w:rPr>
        <w:t>Практичні навички:</w:t>
      </w:r>
    </w:p>
    <w:p w:rsidR="00C31B8F" w:rsidRPr="00F60CB5" w:rsidRDefault="00C31B8F" w:rsidP="00C31B8F">
      <w:pPr>
        <w:widowControl w:val="0"/>
        <w:numPr>
          <w:ilvl w:val="0"/>
          <w:numId w:val="1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оцінювання загального стану пацієнта та його психічного статусу;</w:t>
      </w:r>
    </w:p>
    <w:p w:rsidR="00C31B8F" w:rsidRPr="00F60CB5" w:rsidRDefault="00C31B8F" w:rsidP="00C31B8F">
      <w:pPr>
        <w:widowControl w:val="0"/>
        <w:numPr>
          <w:ilvl w:val="0"/>
          <w:numId w:val="1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виявлення проблеми пацієнта;</w:t>
      </w:r>
    </w:p>
    <w:p w:rsidR="00C31B8F" w:rsidRPr="00F60CB5" w:rsidRDefault="00C31B8F" w:rsidP="00C31B8F">
      <w:pPr>
        <w:widowControl w:val="0"/>
        <w:numPr>
          <w:ilvl w:val="0"/>
          <w:numId w:val="1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особливості роботи молодшого медичного персоналу в наркологічному диспансері;</w:t>
      </w:r>
    </w:p>
    <w:p w:rsidR="00C31B8F" w:rsidRPr="00F60CB5" w:rsidRDefault="00C31B8F" w:rsidP="00C31B8F">
      <w:pPr>
        <w:widowControl w:val="0"/>
        <w:numPr>
          <w:ilvl w:val="0"/>
          <w:numId w:val="1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документація в сестринській роботі;</w:t>
      </w:r>
    </w:p>
    <w:p w:rsidR="00C31B8F" w:rsidRPr="00F60CB5" w:rsidRDefault="00C31B8F" w:rsidP="00C31B8F">
      <w:pPr>
        <w:widowControl w:val="0"/>
        <w:numPr>
          <w:ilvl w:val="0"/>
          <w:numId w:val="1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медсестринський процес при токсикоманіях;</w:t>
      </w:r>
    </w:p>
    <w:p w:rsidR="00C31B8F" w:rsidRPr="00F60CB5" w:rsidRDefault="00C31B8F" w:rsidP="00C31B8F">
      <w:pPr>
        <w:widowControl w:val="0"/>
        <w:numPr>
          <w:ilvl w:val="0"/>
          <w:numId w:val="1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взаємовідносини між медичною сестрою та пацієнтом;</w:t>
      </w:r>
    </w:p>
    <w:p w:rsidR="00C31B8F" w:rsidRPr="00F60CB5" w:rsidRDefault="00C31B8F" w:rsidP="00C31B8F">
      <w:pPr>
        <w:widowControl w:val="0"/>
        <w:numPr>
          <w:ilvl w:val="0"/>
          <w:numId w:val="1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проведення дезінтоксикаційних заходів;</w:t>
      </w:r>
    </w:p>
    <w:p w:rsidR="00C31B8F" w:rsidRPr="00F60CB5" w:rsidRDefault="00C31B8F" w:rsidP="00C31B8F">
      <w:pPr>
        <w:widowControl w:val="0"/>
        <w:numPr>
          <w:ilvl w:val="0"/>
          <w:numId w:val="1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психотерапевтична робота медичної сестри;</w:t>
      </w:r>
    </w:p>
    <w:p w:rsidR="00C31B8F" w:rsidRPr="00F60CB5" w:rsidRDefault="00C31B8F" w:rsidP="00C31B8F">
      <w:pPr>
        <w:widowControl w:val="0"/>
        <w:numPr>
          <w:ilvl w:val="0"/>
          <w:numId w:val="1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санітарно-освітня робота;</w:t>
      </w:r>
    </w:p>
    <w:p w:rsidR="00C31B8F" w:rsidRPr="00F60CB5" w:rsidRDefault="00C31B8F" w:rsidP="00C31B8F">
      <w:pPr>
        <w:widowControl w:val="0"/>
        <w:numPr>
          <w:ilvl w:val="0"/>
          <w:numId w:val="1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 xml:space="preserve">особливості спілкування та поради рідним і близьким токсикозалежних пацієнтів. </w:t>
      </w:r>
    </w:p>
    <w:p w:rsidR="00C31B8F" w:rsidRPr="00F60CB5" w:rsidRDefault="00C31B8F" w:rsidP="00C31B8F">
      <w:pPr>
        <w:widowControl w:val="0"/>
        <w:suppressAutoHyphens/>
        <w:ind w:firstLine="720"/>
        <w:jc w:val="center"/>
        <w:rPr>
          <w:rFonts w:ascii="SchoolBookCTT" w:hAnsi="SchoolBookCTT"/>
          <w:b/>
          <w:i/>
          <w:szCs w:val="28"/>
          <w:lang w:val="uk-UA"/>
        </w:rPr>
      </w:pPr>
    </w:p>
    <w:p w:rsidR="00906DB1" w:rsidRDefault="00906DB1" w:rsidP="00906DB1">
      <w:pPr>
        <w:widowControl w:val="0"/>
        <w:suppressAutoHyphens/>
        <w:ind w:firstLine="720"/>
        <w:jc w:val="center"/>
        <w:rPr>
          <w:rFonts w:ascii="SchoolBookCTT" w:hAnsi="SchoolBookCTT"/>
          <w:b/>
          <w:szCs w:val="28"/>
          <w:lang w:val="uk-UA"/>
        </w:rPr>
      </w:pPr>
    </w:p>
    <w:p w:rsidR="00906DB1" w:rsidRDefault="00906DB1" w:rsidP="00906DB1">
      <w:pPr>
        <w:widowControl w:val="0"/>
        <w:suppressAutoHyphens/>
        <w:ind w:firstLine="720"/>
        <w:jc w:val="center"/>
        <w:rPr>
          <w:rFonts w:ascii="SchoolBookCTT" w:hAnsi="SchoolBookCTT"/>
          <w:b/>
          <w:szCs w:val="28"/>
          <w:lang w:val="uk-UA"/>
        </w:rPr>
      </w:pPr>
    </w:p>
    <w:p w:rsidR="00906DB1" w:rsidRDefault="00906DB1" w:rsidP="00906DB1">
      <w:pPr>
        <w:widowControl w:val="0"/>
        <w:suppressAutoHyphens/>
        <w:ind w:firstLine="720"/>
        <w:jc w:val="center"/>
        <w:rPr>
          <w:rFonts w:ascii="SchoolBookCTT" w:hAnsi="SchoolBookCTT"/>
          <w:b/>
          <w:szCs w:val="28"/>
          <w:lang w:val="uk-UA"/>
        </w:rPr>
      </w:pPr>
    </w:p>
    <w:p w:rsidR="00906DB1" w:rsidRDefault="00906DB1" w:rsidP="00906DB1">
      <w:pPr>
        <w:widowControl w:val="0"/>
        <w:suppressAutoHyphens/>
        <w:ind w:firstLine="720"/>
        <w:jc w:val="center"/>
        <w:rPr>
          <w:rFonts w:ascii="SchoolBookCTT" w:hAnsi="SchoolBookCTT"/>
          <w:b/>
          <w:szCs w:val="28"/>
          <w:lang w:val="uk-UA"/>
        </w:rPr>
      </w:pPr>
    </w:p>
    <w:p w:rsidR="00906DB1" w:rsidRDefault="00906DB1" w:rsidP="00906DB1">
      <w:pPr>
        <w:widowControl w:val="0"/>
        <w:suppressAutoHyphens/>
        <w:ind w:firstLine="720"/>
        <w:jc w:val="center"/>
        <w:rPr>
          <w:rFonts w:ascii="SchoolBookCTT" w:hAnsi="SchoolBookCTT"/>
          <w:b/>
          <w:szCs w:val="28"/>
          <w:lang w:val="uk-UA"/>
        </w:rPr>
      </w:pPr>
    </w:p>
    <w:p w:rsidR="00906DB1" w:rsidRDefault="00906DB1" w:rsidP="00906DB1">
      <w:pPr>
        <w:widowControl w:val="0"/>
        <w:suppressAutoHyphens/>
        <w:ind w:firstLine="720"/>
        <w:jc w:val="center"/>
        <w:rPr>
          <w:rFonts w:ascii="SchoolBookCTT" w:hAnsi="SchoolBookCTT"/>
          <w:b/>
          <w:szCs w:val="28"/>
          <w:lang w:val="uk-UA"/>
        </w:rPr>
      </w:pPr>
    </w:p>
    <w:p w:rsidR="00906DB1" w:rsidRDefault="00906DB1" w:rsidP="00906DB1">
      <w:pPr>
        <w:widowControl w:val="0"/>
        <w:suppressAutoHyphens/>
        <w:ind w:firstLine="720"/>
        <w:jc w:val="center"/>
        <w:rPr>
          <w:rFonts w:ascii="SchoolBookCTT" w:hAnsi="SchoolBookCTT"/>
          <w:b/>
          <w:szCs w:val="28"/>
          <w:lang w:val="uk-UA"/>
        </w:rPr>
      </w:pPr>
    </w:p>
    <w:p w:rsidR="00906DB1" w:rsidRPr="00906DB1" w:rsidRDefault="00C31B8F" w:rsidP="00906DB1">
      <w:pPr>
        <w:widowControl w:val="0"/>
        <w:suppressAutoHyphens/>
        <w:ind w:firstLine="720"/>
        <w:jc w:val="center"/>
        <w:rPr>
          <w:rFonts w:ascii="SchoolBookCTT" w:hAnsi="SchoolBookCTT"/>
          <w:b/>
          <w:szCs w:val="28"/>
          <w:lang w:val="uk-UA"/>
        </w:rPr>
      </w:pPr>
      <w:r w:rsidRPr="00906DB1">
        <w:rPr>
          <w:rFonts w:ascii="SchoolBookCTT" w:hAnsi="SchoolBookCTT"/>
          <w:b/>
          <w:szCs w:val="28"/>
          <w:lang w:val="uk-UA"/>
        </w:rPr>
        <w:lastRenderedPageBreak/>
        <w:t xml:space="preserve">Тема </w:t>
      </w:r>
      <w:r w:rsidR="00906DB1" w:rsidRPr="00906DB1">
        <w:rPr>
          <w:rFonts w:ascii="SchoolBookCTT" w:hAnsi="SchoolBookCTT"/>
          <w:b/>
          <w:szCs w:val="28"/>
          <w:lang w:val="uk-UA"/>
        </w:rPr>
        <w:t>7</w:t>
      </w:r>
    </w:p>
    <w:p w:rsidR="00906DB1" w:rsidRDefault="00906DB1" w:rsidP="00906DB1">
      <w:pPr>
        <w:widowControl w:val="0"/>
        <w:suppressAutoHyphens/>
        <w:ind w:firstLine="720"/>
        <w:jc w:val="center"/>
        <w:rPr>
          <w:rFonts w:ascii="SchoolBookCTT" w:hAnsi="SchoolBookCTT"/>
          <w:b/>
          <w:szCs w:val="28"/>
          <w:lang w:val="uk-UA"/>
        </w:rPr>
      </w:pPr>
    </w:p>
    <w:p w:rsidR="00C31B8F" w:rsidRPr="00F60CB5" w:rsidRDefault="00C31B8F" w:rsidP="00906DB1">
      <w:pPr>
        <w:widowControl w:val="0"/>
        <w:suppressAutoHyphens/>
        <w:ind w:firstLine="720"/>
        <w:jc w:val="center"/>
        <w:rPr>
          <w:rFonts w:ascii="SchoolBookCTT" w:hAnsi="SchoolBookCTT"/>
          <w:b/>
          <w:szCs w:val="28"/>
          <w:lang w:val="uk-UA"/>
        </w:rPr>
      </w:pPr>
      <w:r w:rsidRPr="00F60CB5">
        <w:rPr>
          <w:rFonts w:ascii="SchoolBookCTT" w:hAnsi="SchoolBookCTT"/>
          <w:b/>
          <w:szCs w:val="28"/>
          <w:lang w:val="uk-UA"/>
        </w:rPr>
        <w:t>Тютюнокуріння. Клінічна картина абстинентного синдрому. Профілактика та диспансеризація пацієнтів з токсикоманіями</w:t>
      </w:r>
    </w:p>
    <w:p w:rsidR="00C31B8F" w:rsidRPr="00F60CB5" w:rsidRDefault="00C31B8F" w:rsidP="00906DB1">
      <w:pPr>
        <w:widowControl w:val="0"/>
        <w:suppressAutoHyphens/>
        <w:ind w:firstLine="720"/>
        <w:jc w:val="center"/>
        <w:rPr>
          <w:rFonts w:ascii="SchoolBookCTT" w:hAnsi="SchoolBookCTT"/>
          <w:b/>
          <w:i/>
          <w:szCs w:val="28"/>
          <w:lang w:val="uk-UA"/>
        </w:rPr>
      </w:pPr>
    </w:p>
    <w:p w:rsidR="00906DB1" w:rsidRPr="00C31B8F" w:rsidRDefault="00906DB1" w:rsidP="00906DB1">
      <w:pPr>
        <w:widowControl w:val="0"/>
        <w:suppressAutoHyphens/>
        <w:ind w:firstLine="720"/>
        <w:jc w:val="center"/>
        <w:rPr>
          <w:rFonts w:ascii="SchoolBookCTT" w:hAnsi="SchoolBookCTT"/>
          <w:b/>
          <w:lang w:val="uk-UA"/>
        </w:rPr>
      </w:pPr>
      <w:r w:rsidRPr="00C31B8F">
        <w:rPr>
          <w:rFonts w:ascii="SchoolBookCTT" w:hAnsi="SchoolBookCTT"/>
          <w:b/>
          <w:lang w:val="uk-UA"/>
        </w:rPr>
        <w:t>Питання для підготовки до заняття.</w:t>
      </w:r>
    </w:p>
    <w:p w:rsidR="00C31B8F" w:rsidRPr="00F60CB5" w:rsidRDefault="00C31B8F" w:rsidP="00C31B8F">
      <w:pPr>
        <w:widowControl w:val="0"/>
        <w:rPr>
          <w:lang w:val="uk-UA"/>
        </w:rPr>
      </w:pP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Тютюнокуріння. Хворобливі розлади, що виникають в організмі під дією нікотину. Вплив нікотину на психіку та внутрішні органи. Характеристика абстинентного нікотиноманічного синдрому.</w:t>
      </w: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Роль медичних працівників у боротьбі з тютюнокурінням. Методи доказової медицини, що характеризують залежність від нікотину (підвищений ризик виникнення раку дихальних шляхів, горла, легенів, гіпертонічної хвороби, облітеруючого ендартеріїту, гангрени кінцівок).</w:t>
      </w: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Організація роботи наркологічного кабінету, обов’язки фельдшера кабінету. Групи профілактичного обліку. Особливості роботи підліткового наркологічного кабінету. Організація лікувально-профілактичної роботи з різними групами хворих. Роль молодшого медичного персоналу в проведенні лікувально-профілактичних заходів.</w:t>
      </w: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Роль молодшого медичного працівника в наркологічних закладах Міністерства внутрішніх справ (ЛТП, лікування у відділеннях закритого типу за рішеннями суду). Законодавчі акти, спрямовані на боротьбу з наркоманіями.</w:t>
      </w: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b/>
          <w:i/>
          <w:szCs w:val="28"/>
          <w:lang w:val="uk-UA"/>
        </w:rPr>
      </w:pPr>
    </w:p>
    <w:p w:rsidR="00C31B8F" w:rsidRPr="00F60CB5" w:rsidRDefault="00C31B8F" w:rsidP="00C31B8F">
      <w:pPr>
        <w:pStyle w:val="a3"/>
      </w:pPr>
      <w:r w:rsidRPr="00F60CB5">
        <w:t>Роль медичних працівників у боротьбі з тютюнокурінням. Методи доказової медицини, що характеризують залежність від нікотину (підвищений ризик виникнення раку дихальних шляхів, горла, легенів, гіпертонічної хвороби, облітеруючого ендартеріїту, гангрени кінцівок).</w:t>
      </w:r>
    </w:p>
    <w:p w:rsidR="00C31B8F" w:rsidRPr="00F60CB5" w:rsidRDefault="00C31B8F" w:rsidP="00C31B8F">
      <w:pPr>
        <w:pStyle w:val="a3"/>
      </w:pPr>
      <w:r w:rsidRPr="00F60CB5">
        <w:t>Організація роботи наркологічного кабінету, обов’язки фельдшера кабінету. Групи профілактичного обліку. Особливості роботи підліткового наркологічного кабінету. Організація лікувально-профілактичної роботи з різними групами хворих. Роль молодшого медичного персоналу в проведенні лікувально-профілактичних заходів.</w:t>
      </w:r>
    </w:p>
    <w:p w:rsidR="00C31B8F" w:rsidRPr="00F60CB5" w:rsidRDefault="00C31B8F" w:rsidP="00C31B8F">
      <w:pPr>
        <w:pStyle w:val="a3"/>
      </w:pPr>
      <w:r w:rsidRPr="00F60CB5">
        <w:t>Роль молодшого медичного працівника в наркологічних закладах Міністерства внутрішніх справ (ЛТП, лікування у відділеннях закритого типу за рішеннями суду). Законодавчі акти, спрямовані на боротьбу з наркоманіями.</w:t>
      </w:r>
    </w:p>
    <w:p w:rsidR="00C31B8F" w:rsidRPr="00F60CB5" w:rsidRDefault="00C31B8F" w:rsidP="00C31B8F">
      <w:pPr>
        <w:widowControl w:val="0"/>
        <w:suppressAutoHyphens/>
        <w:ind w:firstLine="720"/>
        <w:jc w:val="center"/>
        <w:rPr>
          <w:rFonts w:ascii="SchoolBookCTT" w:hAnsi="SchoolBookCTT"/>
          <w:b/>
          <w:i/>
          <w:szCs w:val="28"/>
          <w:lang w:val="uk-UA"/>
        </w:rPr>
      </w:pP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b/>
          <w:i/>
          <w:szCs w:val="28"/>
          <w:lang w:val="uk-UA"/>
        </w:rPr>
      </w:pPr>
      <w:r w:rsidRPr="00F60CB5">
        <w:rPr>
          <w:rFonts w:ascii="SchoolBookCTT" w:hAnsi="SchoolBookCTT"/>
          <w:b/>
          <w:i/>
          <w:szCs w:val="28"/>
          <w:lang w:val="uk-UA"/>
        </w:rPr>
        <w:t>Практичні навички:</w:t>
      </w:r>
    </w:p>
    <w:p w:rsidR="00C31B8F" w:rsidRPr="00F60CB5" w:rsidRDefault="00C31B8F" w:rsidP="00C31B8F">
      <w:pPr>
        <w:widowControl w:val="0"/>
        <w:numPr>
          <w:ilvl w:val="0"/>
          <w:numId w:val="2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оцінювання загального стану пацієнта та його психічного статусу;</w:t>
      </w:r>
    </w:p>
    <w:p w:rsidR="00C31B8F" w:rsidRPr="00F60CB5" w:rsidRDefault="00C31B8F" w:rsidP="00C31B8F">
      <w:pPr>
        <w:widowControl w:val="0"/>
        <w:numPr>
          <w:ilvl w:val="0"/>
          <w:numId w:val="2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виявлення проблеми пацієнта;</w:t>
      </w:r>
    </w:p>
    <w:p w:rsidR="00C31B8F" w:rsidRPr="00F60CB5" w:rsidRDefault="00C31B8F" w:rsidP="00C31B8F">
      <w:pPr>
        <w:widowControl w:val="0"/>
        <w:numPr>
          <w:ilvl w:val="0"/>
          <w:numId w:val="2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особливості роботи молодшого медичного персоналу в наркологічному диспансері;</w:t>
      </w:r>
    </w:p>
    <w:p w:rsidR="00C31B8F" w:rsidRPr="00F60CB5" w:rsidRDefault="00C31B8F" w:rsidP="00C31B8F">
      <w:pPr>
        <w:widowControl w:val="0"/>
        <w:numPr>
          <w:ilvl w:val="0"/>
          <w:numId w:val="2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документація в сестринській роботі;</w:t>
      </w:r>
    </w:p>
    <w:p w:rsidR="00C31B8F" w:rsidRPr="00F60CB5" w:rsidRDefault="00C31B8F" w:rsidP="00C31B8F">
      <w:pPr>
        <w:widowControl w:val="0"/>
        <w:numPr>
          <w:ilvl w:val="0"/>
          <w:numId w:val="2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планування медсестринської допомоги;</w:t>
      </w:r>
    </w:p>
    <w:p w:rsidR="00C31B8F" w:rsidRPr="00F60CB5" w:rsidRDefault="00C31B8F" w:rsidP="00C31B8F">
      <w:pPr>
        <w:widowControl w:val="0"/>
        <w:numPr>
          <w:ilvl w:val="0"/>
          <w:numId w:val="2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взаємовідносини між медичною сестрою та пацієнтом;</w:t>
      </w:r>
    </w:p>
    <w:p w:rsidR="00C31B8F" w:rsidRPr="00F60CB5" w:rsidRDefault="00C31B8F" w:rsidP="00C31B8F">
      <w:pPr>
        <w:widowControl w:val="0"/>
        <w:numPr>
          <w:ilvl w:val="0"/>
          <w:numId w:val="2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проведення дезінтоксикаційних заходів;</w:t>
      </w:r>
    </w:p>
    <w:p w:rsidR="00C31B8F" w:rsidRPr="00F60CB5" w:rsidRDefault="00C31B8F" w:rsidP="00C31B8F">
      <w:pPr>
        <w:widowControl w:val="0"/>
        <w:numPr>
          <w:ilvl w:val="0"/>
          <w:numId w:val="2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методика приведення до тверезості при простому алкогольному сп’янінні;</w:t>
      </w:r>
    </w:p>
    <w:p w:rsidR="00C31B8F" w:rsidRPr="00F60CB5" w:rsidRDefault="00C31B8F" w:rsidP="00C31B8F">
      <w:pPr>
        <w:widowControl w:val="0"/>
        <w:numPr>
          <w:ilvl w:val="0"/>
          <w:numId w:val="2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психотерапевтична робота медичної сестри;</w:t>
      </w:r>
    </w:p>
    <w:p w:rsidR="00C31B8F" w:rsidRPr="00F60CB5" w:rsidRDefault="00C31B8F" w:rsidP="00C31B8F">
      <w:pPr>
        <w:widowControl w:val="0"/>
        <w:numPr>
          <w:ilvl w:val="0"/>
          <w:numId w:val="2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санітарно-освітня робота.</w:t>
      </w:r>
    </w:p>
    <w:p w:rsidR="00C31B8F" w:rsidRDefault="00C31B8F" w:rsidP="00C31B8F">
      <w:pPr>
        <w:widowControl w:val="0"/>
        <w:suppressAutoHyphens/>
        <w:ind w:firstLine="720"/>
        <w:jc w:val="center"/>
        <w:rPr>
          <w:rFonts w:ascii="SchoolBookCTT" w:hAnsi="SchoolBookCTT"/>
          <w:b/>
          <w:i/>
          <w:szCs w:val="28"/>
          <w:lang w:val="uk-UA"/>
        </w:rPr>
      </w:pPr>
    </w:p>
    <w:p w:rsidR="00C31B8F" w:rsidRDefault="00C31B8F" w:rsidP="00C31B8F">
      <w:pPr>
        <w:widowControl w:val="0"/>
        <w:suppressAutoHyphens/>
        <w:ind w:firstLine="720"/>
        <w:jc w:val="center"/>
        <w:rPr>
          <w:rFonts w:ascii="SchoolBookCTT" w:hAnsi="SchoolBookCTT"/>
          <w:b/>
          <w:i/>
          <w:szCs w:val="28"/>
          <w:lang w:val="uk-UA"/>
        </w:rPr>
      </w:pPr>
    </w:p>
    <w:p w:rsidR="00C31B8F" w:rsidRPr="00F60CB5" w:rsidRDefault="00C31B8F" w:rsidP="00C31B8F">
      <w:pPr>
        <w:widowControl w:val="0"/>
        <w:suppressAutoHyphens/>
        <w:ind w:firstLine="720"/>
        <w:jc w:val="center"/>
        <w:rPr>
          <w:rFonts w:ascii="SchoolBookCTT" w:hAnsi="SchoolBookCTT"/>
          <w:b/>
          <w:i/>
          <w:szCs w:val="28"/>
          <w:lang w:val="uk-UA"/>
        </w:rPr>
      </w:pPr>
    </w:p>
    <w:p w:rsidR="00906DB1" w:rsidRDefault="00906DB1" w:rsidP="00C31B8F">
      <w:pPr>
        <w:widowControl w:val="0"/>
        <w:suppressAutoHyphens/>
        <w:ind w:firstLine="720"/>
        <w:jc w:val="both"/>
        <w:rPr>
          <w:rFonts w:ascii="SchoolBookCTT" w:hAnsi="SchoolBookCTT"/>
          <w:b/>
          <w:i/>
          <w:szCs w:val="28"/>
          <w:lang w:val="uk-UA"/>
        </w:rPr>
      </w:pPr>
    </w:p>
    <w:p w:rsidR="00906DB1" w:rsidRDefault="00906DB1" w:rsidP="00C31B8F">
      <w:pPr>
        <w:widowControl w:val="0"/>
        <w:suppressAutoHyphens/>
        <w:ind w:firstLine="720"/>
        <w:jc w:val="both"/>
        <w:rPr>
          <w:rFonts w:ascii="SchoolBookCTT" w:hAnsi="SchoolBookCTT"/>
          <w:b/>
          <w:i/>
          <w:szCs w:val="28"/>
          <w:lang w:val="uk-UA"/>
        </w:rPr>
      </w:pPr>
    </w:p>
    <w:p w:rsidR="00906DB1" w:rsidRDefault="00906DB1" w:rsidP="00C31B8F">
      <w:pPr>
        <w:widowControl w:val="0"/>
        <w:suppressAutoHyphens/>
        <w:ind w:firstLine="720"/>
        <w:jc w:val="both"/>
        <w:rPr>
          <w:rFonts w:ascii="SchoolBookCTT" w:hAnsi="SchoolBookCTT"/>
          <w:b/>
          <w:i/>
          <w:szCs w:val="28"/>
          <w:lang w:val="uk-UA"/>
        </w:rPr>
      </w:pPr>
    </w:p>
    <w:p w:rsidR="00906DB1" w:rsidRDefault="00906DB1" w:rsidP="00C31B8F">
      <w:pPr>
        <w:widowControl w:val="0"/>
        <w:suppressAutoHyphens/>
        <w:ind w:firstLine="720"/>
        <w:jc w:val="both"/>
        <w:rPr>
          <w:rFonts w:ascii="SchoolBookCTT" w:hAnsi="SchoolBookCTT"/>
          <w:b/>
          <w:i/>
          <w:szCs w:val="28"/>
          <w:lang w:val="uk-UA"/>
        </w:rPr>
      </w:pPr>
    </w:p>
    <w:p w:rsidR="00906DB1" w:rsidRDefault="00906DB1" w:rsidP="00C31B8F">
      <w:pPr>
        <w:widowControl w:val="0"/>
        <w:suppressAutoHyphens/>
        <w:ind w:firstLine="720"/>
        <w:jc w:val="both"/>
        <w:rPr>
          <w:rFonts w:ascii="SchoolBookCTT" w:hAnsi="SchoolBookCTT"/>
          <w:b/>
          <w:i/>
          <w:szCs w:val="28"/>
          <w:lang w:val="uk-UA"/>
        </w:rPr>
      </w:pPr>
    </w:p>
    <w:p w:rsidR="00906DB1" w:rsidRDefault="00906DB1" w:rsidP="00C31B8F">
      <w:pPr>
        <w:widowControl w:val="0"/>
        <w:suppressAutoHyphens/>
        <w:ind w:firstLine="720"/>
        <w:jc w:val="both"/>
        <w:rPr>
          <w:rFonts w:ascii="SchoolBookCTT" w:hAnsi="SchoolBookCTT"/>
          <w:b/>
          <w:i/>
          <w:szCs w:val="28"/>
          <w:lang w:val="uk-UA"/>
        </w:rPr>
      </w:pPr>
    </w:p>
    <w:p w:rsidR="00906DB1" w:rsidRDefault="00906DB1" w:rsidP="00C31B8F">
      <w:pPr>
        <w:widowControl w:val="0"/>
        <w:suppressAutoHyphens/>
        <w:ind w:firstLine="720"/>
        <w:jc w:val="both"/>
        <w:rPr>
          <w:rFonts w:ascii="SchoolBookCTT" w:hAnsi="SchoolBookCTT"/>
          <w:b/>
          <w:i/>
          <w:szCs w:val="28"/>
          <w:lang w:val="uk-UA"/>
        </w:rPr>
      </w:pPr>
    </w:p>
    <w:p w:rsidR="00906DB1" w:rsidRDefault="00C31B8F" w:rsidP="00906DB1">
      <w:pPr>
        <w:widowControl w:val="0"/>
        <w:suppressAutoHyphens/>
        <w:ind w:firstLine="720"/>
        <w:jc w:val="center"/>
        <w:rPr>
          <w:rFonts w:ascii="SchoolBookCTT" w:hAnsi="SchoolBookCTT"/>
          <w:b/>
          <w:szCs w:val="28"/>
          <w:lang w:val="uk-UA"/>
        </w:rPr>
      </w:pPr>
      <w:r w:rsidRPr="00906DB1">
        <w:rPr>
          <w:rFonts w:ascii="SchoolBookCTT" w:hAnsi="SchoolBookCTT"/>
          <w:b/>
          <w:szCs w:val="28"/>
          <w:lang w:val="uk-UA"/>
        </w:rPr>
        <w:t xml:space="preserve">Тема </w:t>
      </w:r>
      <w:r w:rsidR="00906DB1" w:rsidRPr="00906DB1">
        <w:rPr>
          <w:rFonts w:ascii="SchoolBookCTT" w:hAnsi="SchoolBookCTT"/>
          <w:b/>
          <w:szCs w:val="28"/>
          <w:lang w:val="uk-UA"/>
        </w:rPr>
        <w:t>8</w:t>
      </w:r>
    </w:p>
    <w:p w:rsidR="00906DB1" w:rsidRPr="00906DB1" w:rsidRDefault="00906DB1" w:rsidP="00906DB1">
      <w:pPr>
        <w:widowControl w:val="0"/>
        <w:suppressAutoHyphens/>
        <w:ind w:firstLine="720"/>
        <w:jc w:val="center"/>
        <w:rPr>
          <w:rFonts w:ascii="SchoolBookCTT" w:hAnsi="SchoolBookCTT"/>
          <w:b/>
          <w:szCs w:val="28"/>
          <w:lang w:val="uk-UA"/>
        </w:rPr>
      </w:pPr>
    </w:p>
    <w:p w:rsidR="00C31B8F" w:rsidRPr="00F60CB5" w:rsidRDefault="00C31B8F" w:rsidP="00906DB1">
      <w:pPr>
        <w:widowControl w:val="0"/>
        <w:suppressAutoHyphens/>
        <w:ind w:firstLine="720"/>
        <w:jc w:val="center"/>
        <w:rPr>
          <w:rFonts w:ascii="SchoolBookCTT" w:hAnsi="SchoolBookCTT"/>
          <w:b/>
          <w:szCs w:val="28"/>
          <w:lang w:val="uk-UA"/>
        </w:rPr>
      </w:pPr>
      <w:r w:rsidRPr="00F60CB5">
        <w:rPr>
          <w:rFonts w:ascii="SchoolBookCTT" w:hAnsi="SchoolBookCTT"/>
          <w:b/>
          <w:szCs w:val="28"/>
          <w:lang w:val="uk-UA"/>
        </w:rPr>
        <w:t xml:space="preserve">Обов’язки молодшого медичного персоналу наркологічної служби </w:t>
      </w:r>
      <w:r w:rsidR="00906DB1">
        <w:rPr>
          <w:rFonts w:ascii="SchoolBookCTT" w:hAnsi="SchoolBookCTT"/>
          <w:b/>
          <w:szCs w:val="28"/>
          <w:lang w:val="uk-UA"/>
        </w:rPr>
        <w:t>.</w:t>
      </w:r>
    </w:p>
    <w:p w:rsidR="00C31B8F" w:rsidRPr="00F60CB5" w:rsidRDefault="00C31B8F" w:rsidP="00C31B8F">
      <w:pPr>
        <w:widowControl w:val="0"/>
        <w:suppressAutoHyphens/>
        <w:ind w:firstLine="720"/>
        <w:rPr>
          <w:rFonts w:ascii="SchoolBookCTT" w:hAnsi="SchoolBookCTT"/>
          <w:szCs w:val="28"/>
          <w:lang w:val="uk-UA"/>
        </w:rPr>
      </w:pPr>
    </w:p>
    <w:p w:rsidR="00906DB1" w:rsidRPr="00C31B8F" w:rsidRDefault="00906DB1" w:rsidP="00906DB1">
      <w:pPr>
        <w:widowControl w:val="0"/>
        <w:suppressAutoHyphens/>
        <w:ind w:firstLine="720"/>
        <w:jc w:val="center"/>
        <w:rPr>
          <w:rFonts w:ascii="SchoolBookCTT" w:hAnsi="SchoolBookCTT"/>
          <w:b/>
          <w:lang w:val="uk-UA"/>
        </w:rPr>
      </w:pPr>
      <w:r w:rsidRPr="00C31B8F">
        <w:rPr>
          <w:rFonts w:ascii="SchoolBookCTT" w:hAnsi="SchoolBookCTT"/>
          <w:b/>
          <w:lang w:val="uk-UA"/>
        </w:rPr>
        <w:t>Питання для підготовки до заняття.</w:t>
      </w:r>
    </w:p>
    <w:p w:rsidR="00C31B8F" w:rsidRPr="00F60CB5" w:rsidRDefault="00C31B8F" w:rsidP="00C31B8F">
      <w:pPr>
        <w:widowControl w:val="0"/>
        <w:rPr>
          <w:lang w:val="uk-UA"/>
        </w:rPr>
      </w:pPr>
    </w:p>
    <w:p w:rsidR="00C31B8F" w:rsidRPr="00F60CB5" w:rsidRDefault="00C31B8F" w:rsidP="00C31B8F">
      <w:pPr>
        <w:pStyle w:val="a3"/>
      </w:pPr>
      <w:r w:rsidRPr="00F60CB5">
        <w:t>Особливості прийому хворих наркологічного профілю на лікування. Оформлення документації. Проведення бесіди молодшими медичними працівниками з пацієнтами: вступна бесіда, бесіда з метою поради, бесіда про погану новину, освітня бесіда тощо.</w:t>
      </w:r>
    </w:p>
    <w:p w:rsidR="00C31B8F" w:rsidRPr="00F60CB5" w:rsidRDefault="00C31B8F" w:rsidP="00C31B8F">
      <w:pPr>
        <w:pStyle w:val="a3"/>
      </w:pPr>
      <w:r w:rsidRPr="00F60CB5">
        <w:t>Уміння надати інформацію про пацієнта лікареві, іншим спеціалістам, родичам пацієнта. Вимоги щодо таких повідомлень. Догляд: загальний, індивідуальний. Спостереження, ведення журналу спостереження (мета, поведінка хворого, виявлення того, що хворий бажає приховати від медперсоналу, збирання інформації про пацієнта, визначення ситуацій, при якій змінюється поведінка пацієнта).</w:t>
      </w:r>
    </w:p>
    <w:p w:rsidR="00C31B8F" w:rsidRPr="00F60CB5" w:rsidRDefault="00C31B8F" w:rsidP="00C31B8F">
      <w:pPr>
        <w:pStyle w:val="a3"/>
      </w:pPr>
      <w:r w:rsidRPr="00F60CB5">
        <w:t>Участь пацієнта в спілкуванні з іншими людьми: як поводиться пацієнт у групових заходах; чи здатний він обговорювати свої проблеми і почуття; чи може відстоювати свої інтереси; які зміни відбулися в психіці пацієнта відтоді, як він був госпіталізований.</w:t>
      </w:r>
    </w:p>
    <w:p w:rsidR="00C31B8F" w:rsidRPr="00F60CB5" w:rsidRDefault="00C31B8F" w:rsidP="00C31B8F">
      <w:pPr>
        <w:pStyle w:val="a3"/>
      </w:pPr>
      <w:r w:rsidRPr="00F60CB5">
        <w:t>Організація лікувально-охоронного режиму у відділенні. Профілактика екстремальних і кризових станів. Дії медичної сестри за цих ситуацій. Охорона праці в галузі.</w:t>
      </w:r>
    </w:p>
    <w:p w:rsidR="00C31B8F" w:rsidRPr="00F60CB5" w:rsidRDefault="00C31B8F" w:rsidP="00C31B8F">
      <w:pPr>
        <w:widowControl w:val="0"/>
        <w:suppressAutoHyphens/>
        <w:ind w:firstLine="720"/>
        <w:rPr>
          <w:rFonts w:ascii="SchoolBookCTT" w:hAnsi="SchoolBookCTT"/>
          <w:szCs w:val="28"/>
          <w:lang w:val="uk-UA"/>
        </w:rPr>
      </w:pPr>
    </w:p>
    <w:p w:rsidR="00C31B8F" w:rsidRPr="00F60CB5" w:rsidRDefault="00C31B8F" w:rsidP="00C31B8F">
      <w:pPr>
        <w:widowControl w:val="0"/>
        <w:suppressAutoHyphens/>
        <w:ind w:firstLine="720"/>
        <w:rPr>
          <w:rFonts w:ascii="SchoolBookCTT" w:hAnsi="SchoolBookCTT"/>
          <w:b/>
          <w:i/>
          <w:szCs w:val="28"/>
          <w:lang w:val="uk-UA"/>
        </w:rPr>
      </w:pPr>
    </w:p>
    <w:p w:rsidR="00C31B8F" w:rsidRPr="00F60CB5" w:rsidRDefault="00C31B8F" w:rsidP="00C31B8F">
      <w:pPr>
        <w:pStyle w:val="a3"/>
      </w:pPr>
      <w:r w:rsidRPr="00F60CB5">
        <w:t>Види немедикаментозного лікування, що можуть здійснюватися медичними сестрами: психотерапія колективна та індивідуальна; когнітивна терапія; креативна (відновна) терапія — малювання, ліплення, плетіння, виготовлення іграшок, макраме, штучні квіти; музична терапія (можливість виразити себе через спів або музику); соціальна терапія, повернення до соціального середовища, до нормального життя; поведінкова; психодрама (розігрування життєвих ситуацій, у які потрапляють пацієнти); психомоторна терапія; ЛФК; трудотерапія.</w:t>
      </w:r>
    </w:p>
    <w:p w:rsidR="00C31B8F" w:rsidRPr="00F60CB5" w:rsidRDefault="00C31B8F" w:rsidP="00C31B8F">
      <w:pPr>
        <w:pStyle w:val="a3"/>
      </w:pPr>
      <w:r w:rsidRPr="00F60CB5">
        <w:t>Організація харчувального процесу. Розклад споживання їжі. Надання допомоги пацієнтові під час споживання їжі.</w:t>
      </w:r>
    </w:p>
    <w:p w:rsidR="00C31B8F" w:rsidRPr="00F60CB5" w:rsidRDefault="00C31B8F" w:rsidP="00C31B8F">
      <w:pPr>
        <w:pStyle w:val="a3"/>
      </w:pPr>
      <w:r w:rsidRPr="00F60CB5">
        <w:t>Супроводження пацієнтів. Нагляд за стаціонарними пацієнтами поза межами стаціонару.</w:t>
      </w:r>
    </w:p>
    <w:p w:rsidR="00C31B8F" w:rsidRPr="00F60CB5" w:rsidRDefault="00C31B8F" w:rsidP="00C31B8F">
      <w:pPr>
        <w:pStyle w:val="a3"/>
      </w:pPr>
      <w:r w:rsidRPr="00F60CB5">
        <w:t>Відвідувачі. Години відвідування хворих і регламентування візитів. Робота з відвідувачами.</w:t>
      </w:r>
    </w:p>
    <w:p w:rsidR="00C31B8F" w:rsidRPr="00F60CB5" w:rsidRDefault="00C31B8F" w:rsidP="00C31B8F">
      <w:pPr>
        <w:pStyle w:val="a3"/>
      </w:pPr>
      <w:r w:rsidRPr="00F60CB5">
        <w:t>Переведення хворих в інші відділення чи лікарні. Виписування хворих.</w:t>
      </w:r>
    </w:p>
    <w:p w:rsidR="00C31B8F" w:rsidRPr="00F60CB5" w:rsidRDefault="00C31B8F" w:rsidP="00C31B8F">
      <w:pPr>
        <w:pStyle w:val="a3"/>
      </w:pPr>
      <w:r w:rsidRPr="00F60CB5">
        <w:t>Особисті речі хворого, їх зберігання. Проведення огляду особистих речей хворого та особливості контакту з пацієнтами, які не дають згоди на огляд своїх речей.</w:t>
      </w:r>
    </w:p>
    <w:p w:rsidR="00C31B8F" w:rsidRPr="00F60CB5" w:rsidRDefault="00C31B8F" w:rsidP="00C31B8F">
      <w:pPr>
        <w:pStyle w:val="a3"/>
      </w:pPr>
      <w:r w:rsidRPr="00F60CB5">
        <w:t>Сестринська допомога пацієнтам, які вмирають у лікарні.</w:t>
      </w:r>
    </w:p>
    <w:p w:rsidR="00C31B8F" w:rsidRPr="00F60CB5" w:rsidRDefault="00C31B8F" w:rsidP="00C31B8F">
      <w:pPr>
        <w:pStyle w:val="a3"/>
      </w:pPr>
      <w:r w:rsidRPr="00F60CB5">
        <w:t>Питання соціальної допомоги. Опікунство. Робота з працевлаштування хворих психіатричних закладів. Роль молодшого медичного персоналу в сімейних взаємовідносинах пацієнтів. Сімейне консультування. Особливості медсестринської допомоги в амбулаторних умовах. Планування, звітність.</w:t>
      </w:r>
    </w:p>
    <w:p w:rsidR="00C31B8F" w:rsidRPr="00F60CB5" w:rsidRDefault="00C31B8F" w:rsidP="00C31B8F">
      <w:pPr>
        <w:pStyle w:val="a3"/>
      </w:pPr>
      <w:r w:rsidRPr="00F60CB5">
        <w:t>Особливості роботи медичного персоналу в психіатричних закладах.</w:t>
      </w:r>
    </w:p>
    <w:p w:rsidR="00C31B8F" w:rsidRPr="00F60CB5" w:rsidRDefault="00C31B8F" w:rsidP="00C31B8F">
      <w:pPr>
        <w:pStyle w:val="a3"/>
      </w:pPr>
      <w:r w:rsidRPr="00F60CB5">
        <w:t xml:space="preserve">Особливі випадки роботи зі збудженими хворими та такими, що є небезпечними для себе та оточення. Нагляд і оснащення кабінетів для утримання таких хворих. </w:t>
      </w:r>
    </w:p>
    <w:p w:rsidR="00C31B8F" w:rsidRPr="00F60CB5" w:rsidRDefault="00C31B8F" w:rsidP="00C31B8F">
      <w:pPr>
        <w:pStyle w:val="a3"/>
      </w:pPr>
      <w:r w:rsidRPr="00F60CB5">
        <w:t xml:space="preserve">Охорона праці в </w:t>
      </w:r>
      <w:r>
        <w:t>галузі</w:t>
      </w:r>
      <w:r w:rsidRPr="00F60CB5">
        <w:t>.</w:t>
      </w:r>
    </w:p>
    <w:p w:rsidR="00C31B8F" w:rsidRPr="00F60CB5" w:rsidRDefault="00C31B8F" w:rsidP="00C31B8F">
      <w:pPr>
        <w:widowControl w:val="0"/>
        <w:suppressAutoHyphens/>
        <w:ind w:firstLine="720"/>
        <w:jc w:val="center"/>
        <w:rPr>
          <w:rFonts w:ascii="SchoolBookCTT" w:hAnsi="SchoolBookCTT"/>
          <w:b/>
          <w:i/>
          <w:szCs w:val="28"/>
          <w:lang w:val="uk-UA"/>
        </w:rPr>
      </w:pPr>
    </w:p>
    <w:p w:rsidR="00C31B8F" w:rsidRPr="00F60CB5" w:rsidRDefault="00C31B8F" w:rsidP="00C31B8F">
      <w:pPr>
        <w:widowControl w:val="0"/>
        <w:suppressAutoHyphens/>
        <w:ind w:firstLine="720"/>
        <w:jc w:val="both"/>
        <w:rPr>
          <w:rFonts w:ascii="SchoolBookCTT" w:hAnsi="SchoolBookCTT"/>
          <w:b/>
          <w:i/>
          <w:szCs w:val="28"/>
          <w:lang w:val="uk-UA"/>
        </w:rPr>
      </w:pPr>
      <w:r w:rsidRPr="00F60CB5">
        <w:rPr>
          <w:rFonts w:ascii="SchoolBookCTT" w:hAnsi="SchoolBookCTT"/>
          <w:b/>
          <w:i/>
          <w:szCs w:val="28"/>
          <w:lang w:val="uk-UA"/>
        </w:rPr>
        <w:t>Практичні навички:</w:t>
      </w:r>
    </w:p>
    <w:p w:rsidR="00C31B8F" w:rsidRPr="00F60CB5" w:rsidRDefault="00C31B8F" w:rsidP="00C31B8F">
      <w:pPr>
        <w:widowControl w:val="0"/>
        <w:numPr>
          <w:ilvl w:val="0"/>
          <w:numId w:val="3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оцінювання загального стану пацієнта та його психічного статусу;</w:t>
      </w:r>
    </w:p>
    <w:p w:rsidR="00C31B8F" w:rsidRPr="00F60CB5" w:rsidRDefault="00C31B8F" w:rsidP="00C31B8F">
      <w:pPr>
        <w:widowControl w:val="0"/>
        <w:numPr>
          <w:ilvl w:val="0"/>
          <w:numId w:val="3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виявлення проблеми пацієнта;</w:t>
      </w:r>
    </w:p>
    <w:p w:rsidR="00C31B8F" w:rsidRPr="00F60CB5" w:rsidRDefault="00C31B8F" w:rsidP="00C31B8F">
      <w:pPr>
        <w:widowControl w:val="0"/>
        <w:numPr>
          <w:ilvl w:val="0"/>
          <w:numId w:val="3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особливості роботи молодшого медичного персоналу в наркологічному диспансері;</w:t>
      </w:r>
    </w:p>
    <w:p w:rsidR="00C31B8F" w:rsidRPr="00F60CB5" w:rsidRDefault="00C31B8F" w:rsidP="00C31B8F">
      <w:pPr>
        <w:widowControl w:val="0"/>
        <w:numPr>
          <w:ilvl w:val="0"/>
          <w:numId w:val="3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охорона праці в наркології;</w:t>
      </w:r>
    </w:p>
    <w:p w:rsidR="00C31B8F" w:rsidRPr="00F60CB5" w:rsidRDefault="00C31B8F" w:rsidP="00C31B8F">
      <w:pPr>
        <w:widowControl w:val="0"/>
        <w:numPr>
          <w:ilvl w:val="0"/>
          <w:numId w:val="3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документація в сестринській роботі;</w:t>
      </w:r>
    </w:p>
    <w:p w:rsidR="00C31B8F" w:rsidRPr="00F60CB5" w:rsidRDefault="00C31B8F" w:rsidP="00C31B8F">
      <w:pPr>
        <w:widowControl w:val="0"/>
        <w:numPr>
          <w:ilvl w:val="0"/>
          <w:numId w:val="3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lastRenderedPageBreak/>
        <w:t>планування медсестринської допомоги;</w:t>
      </w:r>
    </w:p>
    <w:p w:rsidR="00C31B8F" w:rsidRPr="00F60CB5" w:rsidRDefault="00C31B8F" w:rsidP="00C31B8F">
      <w:pPr>
        <w:widowControl w:val="0"/>
        <w:numPr>
          <w:ilvl w:val="0"/>
          <w:numId w:val="3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взаємовідносини між медичною сестрою та пацієнтом;</w:t>
      </w:r>
    </w:p>
    <w:p w:rsidR="00C31B8F" w:rsidRPr="00F60CB5" w:rsidRDefault="00C31B8F" w:rsidP="00C31B8F">
      <w:pPr>
        <w:widowControl w:val="0"/>
        <w:numPr>
          <w:ilvl w:val="0"/>
          <w:numId w:val="3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проведення дезінтоксикаційних заходів;</w:t>
      </w:r>
    </w:p>
    <w:p w:rsidR="00C31B8F" w:rsidRPr="00F60CB5" w:rsidRDefault="00C31B8F" w:rsidP="00C31B8F">
      <w:pPr>
        <w:widowControl w:val="0"/>
        <w:numPr>
          <w:ilvl w:val="0"/>
          <w:numId w:val="3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методика приведення до тверезості в разі простого алкогольного сп’яніння;</w:t>
      </w:r>
    </w:p>
    <w:p w:rsidR="00C31B8F" w:rsidRPr="00F60CB5" w:rsidRDefault="00C31B8F" w:rsidP="00C31B8F">
      <w:pPr>
        <w:widowControl w:val="0"/>
        <w:numPr>
          <w:ilvl w:val="0"/>
          <w:numId w:val="3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психотерапевтична робота медичної сестри;</w:t>
      </w:r>
    </w:p>
    <w:p w:rsidR="00C31B8F" w:rsidRPr="00F60CB5" w:rsidRDefault="00C31B8F" w:rsidP="00C31B8F">
      <w:pPr>
        <w:widowControl w:val="0"/>
        <w:numPr>
          <w:ilvl w:val="0"/>
          <w:numId w:val="3"/>
        </w:numPr>
        <w:suppressAutoHyphens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szCs w:val="28"/>
          <w:lang w:val="uk-UA"/>
        </w:rPr>
        <w:t>санітарно-освітня робота.</w:t>
      </w:r>
    </w:p>
    <w:p w:rsidR="00DD5463" w:rsidRDefault="00DD5463">
      <w:pPr>
        <w:rPr>
          <w:lang w:val="uk-UA"/>
        </w:rPr>
      </w:pPr>
    </w:p>
    <w:p w:rsidR="00A91F05" w:rsidRDefault="00A91F05">
      <w:pPr>
        <w:rPr>
          <w:lang w:val="uk-UA"/>
        </w:rPr>
      </w:pPr>
    </w:p>
    <w:p w:rsidR="009D2F3E" w:rsidRDefault="009D2F3E" w:rsidP="00A91F05">
      <w:pPr>
        <w:widowControl w:val="0"/>
        <w:suppressAutoHyphens/>
        <w:ind w:firstLine="720"/>
        <w:rPr>
          <w:rFonts w:ascii="SchoolBookCTT" w:hAnsi="SchoolBookCTT"/>
          <w:b/>
          <w:sz w:val="28"/>
          <w:szCs w:val="28"/>
          <w:lang w:val="uk-UA"/>
        </w:rPr>
      </w:pPr>
    </w:p>
    <w:p w:rsidR="009D2F3E" w:rsidRDefault="009D2F3E" w:rsidP="00A91F05">
      <w:pPr>
        <w:widowControl w:val="0"/>
        <w:suppressAutoHyphens/>
        <w:ind w:firstLine="720"/>
        <w:rPr>
          <w:rFonts w:ascii="SchoolBookCTT" w:hAnsi="SchoolBookCTT"/>
          <w:b/>
          <w:sz w:val="28"/>
          <w:szCs w:val="28"/>
          <w:lang w:val="uk-UA"/>
        </w:rPr>
      </w:pPr>
    </w:p>
    <w:p w:rsidR="009D2F3E" w:rsidRDefault="009D2F3E" w:rsidP="00A91F05">
      <w:pPr>
        <w:widowControl w:val="0"/>
        <w:suppressAutoHyphens/>
        <w:ind w:firstLine="720"/>
        <w:rPr>
          <w:rFonts w:ascii="SchoolBookCTT" w:hAnsi="SchoolBookCTT"/>
          <w:b/>
          <w:sz w:val="28"/>
          <w:szCs w:val="28"/>
          <w:lang w:val="uk-UA"/>
        </w:rPr>
      </w:pPr>
    </w:p>
    <w:p w:rsidR="009D2F3E" w:rsidRDefault="009D2F3E" w:rsidP="00A91F05">
      <w:pPr>
        <w:widowControl w:val="0"/>
        <w:suppressAutoHyphens/>
        <w:ind w:firstLine="720"/>
        <w:rPr>
          <w:rFonts w:ascii="SchoolBookCTT" w:hAnsi="SchoolBookCTT"/>
          <w:b/>
          <w:sz w:val="28"/>
          <w:szCs w:val="28"/>
          <w:lang w:val="uk-UA"/>
        </w:rPr>
      </w:pPr>
    </w:p>
    <w:p w:rsidR="009D2F3E" w:rsidRDefault="009D2F3E" w:rsidP="00A91F05">
      <w:pPr>
        <w:widowControl w:val="0"/>
        <w:suppressAutoHyphens/>
        <w:ind w:firstLine="720"/>
        <w:rPr>
          <w:rFonts w:ascii="SchoolBookCTT" w:hAnsi="SchoolBookCTT"/>
          <w:b/>
          <w:sz w:val="28"/>
          <w:szCs w:val="28"/>
          <w:lang w:val="uk-UA"/>
        </w:rPr>
      </w:pPr>
    </w:p>
    <w:p w:rsidR="00A91F05" w:rsidRPr="00F60CB5" w:rsidRDefault="00A91F05" w:rsidP="00A91F05">
      <w:pPr>
        <w:widowControl w:val="0"/>
        <w:suppressAutoHyphens/>
        <w:ind w:firstLine="720"/>
        <w:rPr>
          <w:rFonts w:ascii="SchoolBookCTT" w:hAnsi="SchoolBookCTT"/>
          <w:b/>
          <w:sz w:val="28"/>
          <w:szCs w:val="28"/>
          <w:lang w:val="uk-UA"/>
        </w:rPr>
      </w:pPr>
      <w:bookmarkStart w:id="0" w:name="_GoBack"/>
      <w:bookmarkEnd w:id="0"/>
      <w:r w:rsidRPr="00F60CB5">
        <w:rPr>
          <w:rFonts w:ascii="SchoolBookCTT" w:hAnsi="SchoolBookCTT"/>
          <w:b/>
          <w:sz w:val="28"/>
          <w:szCs w:val="28"/>
          <w:lang w:val="uk-UA"/>
        </w:rPr>
        <w:t>ЛІТЕРАТУРА</w:t>
      </w:r>
    </w:p>
    <w:p w:rsidR="00A91F05" w:rsidRPr="00F60CB5" w:rsidRDefault="00A91F05" w:rsidP="00A91F05">
      <w:pPr>
        <w:widowControl w:val="0"/>
        <w:suppressAutoHyphens/>
        <w:ind w:firstLine="720"/>
        <w:jc w:val="both"/>
        <w:rPr>
          <w:rFonts w:ascii="SchoolBookCTT" w:hAnsi="SchoolBookCTT"/>
          <w:bCs/>
          <w:i/>
          <w:szCs w:val="32"/>
          <w:lang w:val="uk-UA"/>
        </w:rPr>
      </w:pPr>
    </w:p>
    <w:p w:rsidR="00A91F05" w:rsidRPr="00F60CB5" w:rsidRDefault="00A91F05" w:rsidP="00A91F05">
      <w:pPr>
        <w:pStyle w:val="6"/>
        <w:keepNext w:val="0"/>
      </w:pPr>
      <w:proofErr w:type="spellStart"/>
      <w:r w:rsidRPr="00F60CB5">
        <w:t>Основна</w:t>
      </w:r>
      <w:proofErr w:type="spellEnd"/>
    </w:p>
    <w:p w:rsidR="00A91F05" w:rsidRPr="00A91F05" w:rsidRDefault="00A91F05" w:rsidP="00A91F05">
      <w:pPr>
        <w:pStyle w:val="a5"/>
        <w:widowControl w:val="0"/>
        <w:suppressAutoHyphens/>
        <w:rPr>
          <w:rFonts w:ascii="SchoolBookCTT" w:hAnsi="SchoolBookCTT"/>
          <w:szCs w:val="32"/>
        </w:rPr>
      </w:pPr>
      <w:r>
        <w:rPr>
          <w:rFonts w:ascii="SchoolBookCTT" w:hAnsi="SchoolBookCTT"/>
          <w:i/>
          <w:szCs w:val="32"/>
        </w:rPr>
        <w:t xml:space="preserve">      </w:t>
      </w:r>
      <w:r w:rsidRPr="00A91F05">
        <w:rPr>
          <w:rFonts w:ascii="SchoolBookCTT" w:hAnsi="SchoolBookCTT"/>
          <w:i/>
          <w:szCs w:val="32"/>
        </w:rPr>
        <w:t>Погорєлов І.І., Манаєнкова О.Д</w:t>
      </w:r>
      <w:r>
        <w:rPr>
          <w:rFonts w:ascii="SchoolBookCTT" w:hAnsi="SchoolBookCTT"/>
          <w:szCs w:val="32"/>
        </w:rPr>
        <w:t>. Психіатрія і наркологія. – К.: ВСВ «Медицина», 2015.</w:t>
      </w:r>
    </w:p>
    <w:p w:rsidR="00A91F05" w:rsidRPr="00F60CB5" w:rsidRDefault="00A91F05" w:rsidP="00A91F05">
      <w:pPr>
        <w:pStyle w:val="a5"/>
        <w:widowControl w:val="0"/>
        <w:suppressAutoHyphens/>
        <w:ind w:firstLine="720"/>
        <w:rPr>
          <w:rFonts w:ascii="SchoolBookCTT" w:hAnsi="SchoolBookCTT"/>
          <w:szCs w:val="28"/>
        </w:rPr>
      </w:pPr>
      <w:r w:rsidRPr="00F60CB5">
        <w:rPr>
          <w:rFonts w:ascii="SchoolBookCTT" w:hAnsi="SchoolBookCTT"/>
          <w:i/>
          <w:iCs/>
          <w:szCs w:val="28"/>
        </w:rPr>
        <w:t>Губенко І.Я., Шевченко О.Т., Бразалій Л.П., Апшай В.Г.</w:t>
      </w:r>
      <w:r w:rsidRPr="00F60CB5">
        <w:rPr>
          <w:rFonts w:ascii="SchoolBookCTT" w:hAnsi="SchoolBookCTT"/>
          <w:szCs w:val="28"/>
        </w:rPr>
        <w:t xml:space="preserve"> Медсестринський процес. — К.: Здоров’я, 2001.</w:t>
      </w:r>
    </w:p>
    <w:p w:rsidR="00A91F05" w:rsidRPr="00F60CB5" w:rsidRDefault="00A91F05" w:rsidP="00A91F05">
      <w:pPr>
        <w:pStyle w:val="a5"/>
        <w:widowControl w:val="0"/>
        <w:suppressAutoHyphens/>
        <w:autoSpaceDE w:val="0"/>
        <w:autoSpaceDN w:val="0"/>
        <w:adjustRightInd w:val="0"/>
        <w:ind w:firstLine="720"/>
        <w:rPr>
          <w:rFonts w:ascii="SchoolBookCTT" w:hAnsi="SchoolBookCTT"/>
          <w:szCs w:val="28"/>
        </w:rPr>
      </w:pPr>
      <w:r w:rsidRPr="00F60CB5">
        <w:rPr>
          <w:rFonts w:ascii="SchoolBookCTT" w:hAnsi="SchoolBookCTT"/>
          <w:i/>
          <w:iCs/>
          <w:szCs w:val="28"/>
        </w:rPr>
        <w:t xml:space="preserve">Губенко І.Я., Шевченко О.Т., Бразалій </w:t>
      </w:r>
      <w:r w:rsidRPr="00F60CB5">
        <w:rPr>
          <w:rFonts w:ascii="SchoolBookCTT" w:hAnsi="SchoolBookCTT"/>
          <w:i/>
          <w:szCs w:val="28"/>
        </w:rPr>
        <w:t>Л.</w:t>
      </w:r>
      <w:r w:rsidRPr="00F60CB5">
        <w:rPr>
          <w:rFonts w:ascii="SchoolBookCTT" w:hAnsi="SchoolBookCTT"/>
          <w:i/>
          <w:iCs/>
          <w:szCs w:val="28"/>
        </w:rPr>
        <w:t>П., Апшай В.Г.</w:t>
      </w:r>
      <w:r w:rsidRPr="00F60CB5">
        <w:rPr>
          <w:rFonts w:ascii="SchoolBookCTT" w:hAnsi="SchoolBookCTT"/>
          <w:szCs w:val="28"/>
        </w:rPr>
        <w:t xml:space="preserve"> Медсестринський догляд за пацієнтом. — К.: Здоров’я, 2000.</w:t>
      </w:r>
    </w:p>
    <w:p w:rsidR="00A91F05" w:rsidRPr="00F60CB5" w:rsidRDefault="00A91F05" w:rsidP="00A91F05">
      <w:pPr>
        <w:widowControl w:val="0"/>
        <w:tabs>
          <w:tab w:val="left" w:pos="3855"/>
        </w:tabs>
        <w:suppressAutoHyphens/>
        <w:ind w:firstLine="720"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i/>
          <w:iCs/>
          <w:szCs w:val="28"/>
          <w:lang w:val="uk-UA"/>
        </w:rPr>
        <w:t>Медсестринство</w:t>
      </w:r>
      <w:r w:rsidRPr="00F60CB5">
        <w:rPr>
          <w:rFonts w:ascii="SchoolBookCTT" w:hAnsi="SchoolBookCTT"/>
          <w:szCs w:val="28"/>
          <w:lang w:val="uk-UA"/>
        </w:rPr>
        <w:t xml:space="preserve"> в психіатрії / За ред. О.С. Чабана. — Тернопіль: Укрмедкнига, 2001.</w:t>
      </w:r>
    </w:p>
    <w:p w:rsidR="00A91F05" w:rsidRPr="00F60CB5" w:rsidRDefault="00A91F05" w:rsidP="00A91F05">
      <w:pPr>
        <w:widowControl w:val="0"/>
        <w:tabs>
          <w:tab w:val="left" w:pos="3855"/>
        </w:tabs>
        <w:suppressAutoHyphens/>
        <w:ind w:firstLine="720"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i/>
          <w:iCs/>
          <w:szCs w:val="28"/>
          <w:lang w:val="uk-UA"/>
        </w:rPr>
        <w:t xml:space="preserve">Минко А.И., Линский И.В. </w:t>
      </w:r>
      <w:r w:rsidRPr="00F60CB5">
        <w:rPr>
          <w:rFonts w:ascii="SchoolBookCTT" w:hAnsi="SchoolBookCTT"/>
          <w:szCs w:val="28"/>
          <w:lang w:val="uk-UA"/>
        </w:rPr>
        <w:t>Наркология. — М.: Эксмо, 2004.</w:t>
      </w:r>
    </w:p>
    <w:p w:rsidR="00A91F05" w:rsidRPr="00F60CB5" w:rsidRDefault="00A91F05" w:rsidP="00A91F05">
      <w:pPr>
        <w:widowControl w:val="0"/>
        <w:tabs>
          <w:tab w:val="left" w:pos="3855"/>
        </w:tabs>
        <w:suppressAutoHyphens/>
        <w:ind w:firstLine="720"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i/>
          <w:iCs/>
          <w:szCs w:val="28"/>
          <w:lang w:val="uk-UA"/>
        </w:rPr>
        <w:t>Психіатрія</w:t>
      </w:r>
      <w:r w:rsidRPr="00F60CB5">
        <w:rPr>
          <w:rFonts w:ascii="SchoolBookCTT" w:hAnsi="SchoolBookCTT"/>
          <w:szCs w:val="28"/>
          <w:lang w:val="uk-UA"/>
        </w:rPr>
        <w:t xml:space="preserve"> / За ред. О.К. Напрєєнка. — К.: Здоров’я, 2001.</w:t>
      </w:r>
    </w:p>
    <w:p w:rsidR="00A91F05" w:rsidRPr="00F60CB5" w:rsidRDefault="00A91F05" w:rsidP="00A91F05">
      <w:pPr>
        <w:widowControl w:val="0"/>
        <w:suppressAutoHyphens/>
        <w:jc w:val="center"/>
        <w:rPr>
          <w:rFonts w:ascii="SchoolBookCTT" w:hAnsi="SchoolBookCTT"/>
          <w:b/>
          <w:i/>
          <w:szCs w:val="32"/>
          <w:lang w:val="uk-UA"/>
        </w:rPr>
      </w:pPr>
    </w:p>
    <w:p w:rsidR="00A91F05" w:rsidRPr="00A91F05" w:rsidRDefault="00A91F05" w:rsidP="00A91F05">
      <w:pPr>
        <w:pStyle w:val="6"/>
        <w:keepNext w:val="0"/>
        <w:rPr>
          <w:lang w:val="uk-UA"/>
        </w:rPr>
      </w:pPr>
      <w:r w:rsidRPr="00A91F05">
        <w:rPr>
          <w:lang w:val="uk-UA"/>
        </w:rPr>
        <w:t>Додаткова</w:t>
      </w:r>
    </w:p>
    <w:p w:rsidR="00A91F05" w:rsidRPr="00F60CB5" w:rsidRDefault="00A91F05" w:rsidP="00A91F05">
      <w:pPr>
        <w:pStyle w:val="a5"/>
        <w:widowControl w:val="0"/>
        <w:suppressAutoHyphens/>
        <w:jc w:val="center"/>
        <w:rPr>
          <w:rFonts w:ascii="SchoolBookCTT" w:hAnsi="SchoolBookCTT"/>
          <w:b/>
          <w:i/>
          <w:szCs w:val="28"/>
        </w:rPr>
      </w:pPr>
    </w:p>
    <w:p w:rsidR="00A91F05" w:rsidRPr="00F60CB5" w:rsidRDefault="00A91F05" w:rsidP="00A91F05">
      <w:pPr>
        <w:pStyle w:val="a5"/>
        <w:widowControl w:val="0"/>
        <w:suppressAutoHyphens/>
        <w:ind w:firstLine="720"/>
        <w:rPr>
          <w:rFonts w:ascii="SchoolBookCTT" w:hAnsi="SchoolBookCTT"/>
          <w:szCs w:val="28"/>
        </w:rPr>
      </w:pPr>
      <w:r w:rsidRPr="00F60CB5">
        <w:rPr>
          <w:rFonts w:ascii="SchoolBookCTT" w:hAnsi="SchoolBookCTT"/>
          <w:i/>
          <w:iCs/>
          <w:szCs w:val="28"/>
        </w:rPr>
        <w:t>Гавенко В.Л., Самардакова Г.О., Бачеріков М.Є.</w:t>
      </w:r>
      <w:r w:rsidRPr="00F60CB5">
        <w:rPr>
          <w:rFonts w:ascii="SchoolBookCTT" w:hAnsi="SchoolBookCTT"/>
          <w:szCs w:val="28"/>
        </w:rPr>
        <w:t xml:space="preserve"> Психіатрія і наркологія. — К.: Здоров’я, 1993.</w:t>
      </w:r>
    </w:p>
    <w:p w:rsidR="00A91F05" w:rsidRPr="00F60CB5" w:rsidRDefault="00A91F05" w:rsidP="00A91F05">
      <w:pPr>
        <w:widowControl w:val="0"/>
        <w:tabs>
          <w:tab w:val="left" w:pos="3855"/>
        </w:tabs>
        <w:suppressAutoHyphens/>
        <w:ind w:firstLine="720"/>
        <w:jc w:val="both"/>
        <w:rPr>
          <w:rFonts w:ascii="SchoolBookCTT" w:hAnsi="SchoolBookCTT"/>
          <w:szCs w:val="28"/>
          <w:lang w:val="uk-UA"/>
        </w:rPr>
      </w:pPr>
      <w:r w:rsidRPr="00F60CB5">
        <w:rPr>
          <w:rFonts w:ascii="SchoolBookCTT" w:hAnsi="SchoolBookCTT"/>
          <w:i/>
          <w:iCs/>
          <w:lang w:val="uk-UA"/>
        </w:rPr>
        <w:t xml:space="preserve">Драчова З.Н., Блейхер В.М., Крук І.В. </w:t>
      </w:r>
      <w:r w:rsidRPr="00F60CB5">
        <w:rPr>
          <w:rFonts w:ascii="SchoolBookCTT" w:hAnsi="SchoolBookCTT"/>
          <w:lang w:val="uk-UA"/>
        </w:rPr>
        <w:t>Нервові та психічні хвороби. — К.: Вища шк., 1993.</w:t>
      </w:r>
    </w:p>
    <w:p w:rsidR="00A91F05" w:rsidRPr="00F60CB5" w:rsidRDefault="00A91F05" w:rsidP="00A91F05">
      <w:pPr>
        <w:pStyle w:val="a5"/>
        <w:widowControl w:val="0"/>
        <w:suppressAutoHyphens/>
        <w:autoSpaceDE w:val="0"/>
        <w:autoSpaceDN w:val="0"/>
        <w:adjustRightInd w:val="0"/>
        <w:ind w:firstLine="720"/>
        <w:rPr>
          <w:rFonts w:ascii="SchoolBookCTT" w:hAnsi="SchoolBookCTT"/>
          <w:szCs w:val="28"/>
        </w:rPr>
      </w:pPr>
      <w:r w:rsidRPr="00F60CB5">
        <w:rPr>
          <w:rFonts w:ascii="SchoolBookCTT" w:hAnsi="SchoolBookCTT"/>
          <w:i/>
          <w:iCs/>
          <w:szCs w:val="28"/>
        </w:rPr>
        <w:t xml:space="preserve">Дупленко П.Ю. </w:t>
      </w:r>
      <w:r w:rsidRPr="00F60CB5">
        <w:rPr>
          <w:rFonts w:ascii="SchoolBookCTT" w:hAnsi="SchoolBookCTT"/>
          <w:szCs w:val="28"/>
        </w:rPr>
        <w:t>Молодіжна наркоманія в Україні: стан, проблеми вивчення та профілактика. — К.: Б. в., 1966.</w:t>
      </w:r>
    </w:p>
    <w:p w:rsidR="00A91F05" w:rsidRPr="00F60CB5" w:rsidRDefault="00A91F05" w:rsidP="00A91F05">
      <w:pPr>
        <w:pStyle w:val="a5"/>
        <w:widowControl w:val="0"/>
        <w:suppressAutoHyphens/>
        <w:autoSpaceDE w:val="0"/>
        <w:autoSpaceDN w:val="0"/>
        <w:adjustRightInd w:val="0"/>
        <w:ind w:firstLine="720"/>
        <w:rPr>
          <w:rFonts w:ascii="SchoolBookCTT" w:hAnsi="SchoolBookCTT"/>
          <w:szCs w:val="28"/>
        </w:rPr>
      </w:pPr>
      <w:r w:rsidRPr="00F60CB5">
        <w:rPr>
          <w:rFonts w:ascii="SchoolBookCTT" w:hAnsi="SchoolBookCTT"/>
          <w:i/>
          <w:iCs/>
          <w:szCs w:val="28"/>
        </w:rPr>
        <w:t>Руководство</w:t>
      </w:r>
      <w:r w:rsidRPr="00F60CB5">
        <w:rPr>
          <w:rFonts w:ascii="SchoolBookCTT" w:hAnsi="SchoolBookCTT"/>
          <w:szCs w:val="28"/>
        </w:rPr>
        <w:t xml:space="preserve"> по психиатрии / Под ред. А.В. Снежневского. — М.: Медицина, 1983.</w:t>
      </w:r>
    </w:p>
    <w:p w:rsidR="00A91F05" w:rsidRPr="00F60CB5" w:rsidRDefault="00A91F05" w:rsidP="00A91F05">
      <w:pPr>
        <w:pStyle w:val="a5"/>
        <w:widowControl w:val="0"/>
        <w:suppressAutoHyphens/>
        <w:autoSpaceDE w:val="0"/>
        <w:autoSpaceDN w:val="0"/>
        <w:adjustRightInd w:val="0"/>
        <w:ind w:firstLine="720"/>
        <w:rPr>
          <w:rFonts w:ascii="SchoolBookCTT" w:hAnsi="SchoolBookCTT"/>
          <w:szCs w:val="28"/>
        </w:rPr>
      </w:pPr>
      <w:r w:rsidRPr="00F60CB5">
        <w:rPr>
          <w:rFonts w:ascii="SchoolBookCTT" w:hAnsi="SchoolBookCTT"/>
          <w:i/>
          <w:iCs/>
          <w:szCs w:val="28"/>
        </w:rPr>
        <w:t xml:space="preserve">Фрумкин Я.П., Воронков Г.Л., Шевчук И.Д. </w:t>
      </w:r>
      <w:r w:rsidRPr="00F60CB5">
        <w:rPr>
          <w:rFonts w:ascii="SchoolBookCTT" w:hAnsi="SchoolBookCTT"/>
          <w:szCs w:val="28"/>
        </w:rPr>
        <w:t>Психиатрия. Таблицы и схемы. — К.: Вища шк., 1977.</w:t>
      </w:r>
    </w:p>
    <w:p w:rsidR="00A91F05" w:rsidRPr="00F60CB5" w:rsidRDefault="00A91F05" w:rsidP="00A91F05">
      <w:pPr>
        <w:pStyle w:val="a5"/>
        <w:widowControl w:val="0"/>
        <w:suppressAutoHyphens/>
        <w:autoSpaceDE w:val="0"/>
        <w:autoSpaceDN w:val="0"/>
        <w:adjustRightInd w:val="0"/>
        <w:ind w:firstLine="720"/>
        <w:rPr>
          <w:rFonts w:ascii="SchoolBookCTT" w:hAnsi="SchoolBookCTT"/>
          <w:szCs w:val="28"/>
        </w:rPr>
      </w:pPr>
      <w:r w:rsidRPr="00F60CB5">
        <w:rPr>
          <w:rFonts w:ascii="SchoolBookCTT" w:hAnsi="SchoolBookCTT"/>
          <w:i/>
          <w:iCs/>
          <w:szCs w:val="28"/>
        </w:rPr>
        <w:t>Ясперс К.</w:t>
      </w:r>
      <w:r w:rsidRPr="00F60CB5">
        <w:rPr>
          <w:rFonts w:ascii="SchoolBookCTT" w:hAnsi="SchoolBookCTT"/>
          <w:szCs w:val="28"/>
        </w:rPr>
        <w:t xml:space="preserve"> Общая психопатология. — М.: Практика, 1997.</w:t>
      </w:r>
    </w:p>
    <w:p w:rsidR="00A91F05" w:rsidRPr="00F60CB5" w:rsidRDefault="00A91F05" w:rsidP="00A91F05">
      <w:pPr>
        <w:pStyle w:val="a5"/>
        <w:widowControl w:val="0"/>
        <w:suppressAutoHyphens/>
        <w:autoSpaceDE w:val="0"/>
        <w:autoSpaceDN w:val="0"/>
        <w:adjustRightInd w:val="0"/>
        <w:ind w:firstLine="0"/>
        <w:rPr>
          <w:rFonts w:ascii="SchoolBookCTT" w:hAnsi="SchoolBookCTT"/>
          <w:szCs w:val="28"/>
        </w:rPr>
      </w:pPr>
    </w:p>
    <w:p w:rsidR="00A91F05" w:rsidRPr="00A91F05" w:rsidRDefault="00A91F05">
      <w:pPr>
        <w:rPr>
          <w:lang w:val="uk-UA"/>
        </w:rPr>
      </w:pPr>
    </w:p>
    <w:sectPr w:rsidR="00A91F05" w:rsidRPr="00A91F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374F"/>
    <w:multiLevelType w:val="hybridMultilevel"/>
    <w:tmpl w:val="42A4FE1A"/>
    <w:lvl w:ilvl="0" w:tplc="D86657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E04FBD"/>
    <w:multiLevelType w:val="hybridMultilevel"/>
    <w:tmpl w:val="A7C47A04"/>
    <w:lvl w:ilvl="0" w:tplc="D86657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AA58A2"/>
    <w:multiLevelType w:val="hybridMultilevel"/>
    <w:tmpl w:val="1A8AAAD8"/>
    <w:lvl w:ilvl="0" w:tplc="D86657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B6"/>
    <w:rsid w:val="00906DB1"/>
    <w:rsid w:val="009420B6"/>
    <w:rsid w:val="009D2F3E"/>
    <w:rsid w:val="00A91F05"/>
    <w:rsid w:val="00C31B8F"/>
    <w:rsid w:val="00D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C31B8F"/>
    <w:pPr>
      <w:keepNext/>
      <w:widowControl w:val="0"/>
      <w:tabs>
        <w:tab w:val="left" w:pos="3510"/>
      </w:tabs>
      <w:suppressAutoHyphens/>
      <w:ind w:firstLine="720"/>
      <w:jc w:val="both"/>
      <w:outlineLvl w:val="2"/>
    </w:pPr>
    <w:rPr>
      <w:rFonts w:ascii="SchoolBookCTT" w:hAnsi="SchoolBookCTT"/>
      <w:b/>
      <w:i/>
      <w:szCs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1F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B8F"/>
    <w:rPr>
      <w:rFonts w:ascii="SchoolBookCTT" w:eastAsia="Times New Roman" w:hAnsi="SchoolBookCTT" w:cs="Times New Roman"/>
      <w:b/>
      <w:i/>
      <w:sz w:val="24"/>
      <w:szCs w:val="28"/>
      <w:lang w:eastAsia="ru-RU"/>
    </w:rPr>
  </w:style>
  <w:style w:type="paragraph" w:styleId="a3">
    <w:name w:val="Body Text Indent"/>
    <w:basedOn w:val="a"/>
    <w:link w:val="a4"/>
    <w:rsid w:val="00C31B8F"/>
    <w:pPr>
      <w:widowControl w:val="0"/>
      <w:suppressAutoHyphens/>
      <w:ind w:firstLine="720"/>
      <w:jc w:val="both"/>
    </w:pPr>
    <w:rPr>
      <w:rFonts w:ascii="SchoolBookCTT" w:hAnsi="SchoolBookCTT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31B8F"/>
    <w:rPr>
      <w:rFonts w:ascii="SchoolBookCTT" w:eastAsia="Times New Roman" w:hAnsi="SchoolBookCTT" w:cs="Times New Roman"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91F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a5">
    <w:name w:val="Мой стиль"/>
    <w:basedOn w:val="a"/>
    <w:rsid w:val="00A91F05"/>
    <w:pPr>
      <w:ind w:firstLine="425"/>
      <w:jc w:val="both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C31B8F"/>
    <w:pPr>
      <w:keepNext/>
      <w:widowControl w:val="0"/>
      <w:tabs>
        <w:tab w:val="left" w:pos="3510"/>
      </w:tabs>
      <w:suppressAutoHyphens/>
      <w:ind w:firstLine="720"/>
      <w:jc w:val="both"/>
      <w:outlineLvl w:val="2"/>
    </w:pPr>
    <w:rPr>
      <w:rFonts w:ascii="SchoolBookCTT" w:hAnsi="SchoolBookCTT"/>
      <w:b/>
      <w:i/>
      <w:szCs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1F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B8F"/>
    <w:rPr>
      <w:rFonts w:ascii="SchoolBookCTT" w:eastAsia="Times New Roman" w:hAnsi="SchoolBookCTT" w:cs="Times New Roman"/>
      <w:b/>
      <w:i/>
      <w:sz w:val="24"/>
      <w:szCs w:val="28"/>
      <w:lang w:eastAsia="ru-RU"/>
    </w:rPr>
  </w:style>
  <w:style w:type="paragraph" w:styleId="a3">
    <w:name w:val="Body Text Indent"/>
    <w:basedOn w:val="a"/>
    <w:link w:val="a4"/>
    <w:rsid w:val="00C31B8F"/>
    <w:pPr>
      <w:widowControl w:val="0"/>
      <w:suppressAutoHyphens/>
      <w:ind w:firstLine="720"/>
      <w:jc w:val="both"/>
    </w:pPr>
    <w:rPr>
      <w:rFonts w:ascii="SchoolBookCTT" w:hAnsi="SchoolBookCTT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C31B8F"/>
    <w:rPr>
      <w:rFonts w:ascii="SchoolBookCTT" w:eastAsia="Times New Roman" w:hAnsi="SchoolBookCTT" w:cs="Times New Roman"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91F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a5">
    <w:name w:val="Мой стиль"/>
    <w:basedOn w:val="a"/>
    <w:rsid w:val="00A91F05"/>
    <w:pPr>
      <w:ind w:firstLine="425"/>
      <w:jc w:val="both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5833</Words>
  <Characters>3325</Characters>
  <Application>Microsoft Office Word</Application>
  <DocSecurity>0</DocSecurity>
  <Lines>27</Lines>
  <Paragraphs>18</Paragraphs>
  <ScaleCrop>false</ScaleCrop>
  <Company>Torrents.by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2020-05-06T06:30:00Z</dcterms:created>
  <dcterms:modified xsi:type="dcterms:W3CDTF">2020-05-06T06:39:00Z</dcterms:modified>
</cp:coreProperties>
</file>