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72" w:rsidRDefault="00C95F72" w:rsidP="00017FF5">
      <w:pPr>
        <w:pStyle w:val="30"/>
        <w:shd w:val="clear" w:color="auto" w:fill="auto"/>
        <w:spacing w:after="0" w:line="624" w:lineRule="exact"/>
        <w:ind w:right="20"/>
        <w:rPr>
          <w:color w:val="000000"/>
          <w:sz w:val="32"/>
          <w:szCs w:val="32"/>
          <w:lang w:val="uk-UA" w:eastAsia="uk-UA"/>
        </w:rPr>
      </w:pPr>
      <w:r w:rsidRPr="00017FF5">
        <w:rPr>
          <w:color w:val="000000"/>
          <w:sz w:val="32"/>
          <w:szCs w:val="32"/>
          <w:lang w:val="uk-UA" w:eastAsia="uk-UA"/>
        </w:rPr>
        <w:t>Коматозні стани</w:t>
      </w:r>
    </w:p>
    <w:p w:rsidR="00C95F72" w:rsidRPr="00017FF5" w:rsidRDefault="00C95F72" w:rsidP="00017FF5">
      <w:pPr>
        <w:pStyle w:val="30"/>
        <w:shd w:val="clear" w:color="auto" w:fill="auto"/>
        <w:spacing w:after="0" w:line="624" w:lineRule="exact"/>
        <w:ind w:right="20"/>
        <w:rPr>
          <w:color w:val="000000"/>
          <w:sz w:val="32"/>
          <w:szCs w:val="32"/>
          <w:lang w:val="uk-UA" w:eastAsia="uk-UA"/>
        </w:rPr>
      </w:pPr>
    </w:p>
    <w:p w:rsidR="00C95F72" w:rsidRPr="00017FF5" w:rsidRDefault="00C95F72" w:rsidP="00017FF5">
      <w:pPr>
        <w:spacing w:after="169" w:line="320" w:lineRule="exact"/>
        <w:ind w:firstLine="760"/>
        <w:rPr>
          <w:rFonts w:ascii="Times New Roman" w:hAnsi="Times New Roman"/>
          <w:color w:val="000000"/>
          <w:sz w:val="24"/>
          <w:szCs w:val="24"/>
        </w:rPr>
      </w:pPr>
      <w:r w:rsidRPr="00017FF5">
        <w:rPr>
          <w:rStyle w:val="616pt"/>
          <w:b w:val="0"/>
          <w:bCs w:val="0"/>
          <w:sz w:val="24"/>
          <w:szCs w:val="24"/>
        </w:rPr>
        <w:t xml:space="preserve">Кома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(</w:t>
      </w:r>
      <w:hyperlink r:id="rId5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грец.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к</w:t>
        </w:r>
      </w:hyperlink>
      <w:r w:rsidRPr="00017FF5">
        <w:rPr>
          <w:rStyle w:val="60"/>
          <w:b w:val="0"/>
          <w:bCs w:val="0"/>
          <w:sz w:val="24"/>
          <w:szCs w:val="24"/>
        </w:rPr>
        <w:t>оиа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— глибокий</w:t>
      </w:r>
      <w:hyperlink r:id="rId6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сон)</w:t>
        </w:r>
      </w:hyperlink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— стан</w:t>
      </w:r>
      <w:hyperlink r:id="rId7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організму,</w:t>
        </w:r>
      </w:hyperlink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що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характеризується повною втратою</w:t>
      </w:r>
      <w:hyperlink r:id="rId8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свідомості,</w:t>
        </w:r>
      </w:hyperlink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розладом життєво важливих функцій —</w:t>
      </w:r>
      <w:hyperlink r:id="rId9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кровообігу,</w:t>
        </w:r>
      </w:hyperlink>
      <w:hyperlink r:id="rId10" w:history="1"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 xml:space="preserve"> дихання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>,</w:t>
        </w:r>
      </w:hyperlink>
      <w:hyperlink r:id="rId11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обміну речовин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>,</w:t>
        </w:r>
      </w:hyperlink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відсутністю</w:t>
      </w:r>
      <w:hyperlink r:id="rId12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рефлексів,</w:t>
        </w:r>
      </w:hyperlink>
      <w:r w:rsidRPr="00017FF5">
        <w:rPr>
          <w:rStyle w:val="61"/>
          <w:b w:val="0"/>
          <w:bCs w:val="0"/>
          <w:sz w:val="24"/>
          <w:szCs w:val="24"/>
        </w:rPr>
        <w:t xml:space="preserve">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реакції на подразники. Виникає гальмування функцій кори, потім підкірки.</w:t>
      </w:r>
    </w:p>
    <w:p w:rsidR="00C95F72" w:rsidRPr="00017FF5" w:rsidRDefault="00C95F72" w:rsidP="00017FF5">
      <w:pPr>
        <w:ind w:firstLine="760"/>
        <w:rPr>
          <w:rFonts w:ascii="Times New Roman" w:hAnsi="Times New Roman"/>
          <w:color w:val="000000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Спостерігається при</w:t>
      </w:r>
      <w:hyperlink r:id="rId13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інсульті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>,</w:t>
        </w:r>
      </w:hyperlink>
      <w:hyperlink r:id="rId14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цукровому діабеті,</w:t>
        </w:r>
      </w:hyperlink>
      <w:hyperlink r:id="rId15" w:history="1"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 xml:space="preserve"> гепатитах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>,</w:t>
        </w:r>
      </w:hyperlink>
      <w:hyperlink r:id="rId16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уремії,</w:t>
        </w:r>
      </w:hyperlink>
      <w:r w:rsidRPr="00017FF5">
        <w:rPr>
          <w:rStyle w:val="61"/>
          <w:b w:val="0"/>
          <w:bCs w:val="0"/>
          <w:sz w:val="24"/>
          <w:szCs w:val="24"/>
        </w:rPr>
        <w:t xml:space="preserve"> </w:t>
      </w:r>
      <w:hyperlink r:id="rId17" w:history="1"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епілепсії,</w:t>
        </w:r>
      </w:hyperlink>
      <w:hyperlink r:id="rId18" w:history="1"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 xml:space="preserve"> отруєннях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</w:hyperlink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(в тому числі</w:t>
      </w:r>
      <w:hyperlink r:id="rId19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алкоголем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>)</w:t>
        </w:r>
      </w:hyperlink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, інфекційних хворобах, тяжких черепно-мозкових травмах, пухлинах головного мозку, тощо. Глибока кома відноситься до</w:t>
      </w:r>
      <w:hyperlink r:id="rId20" w:history="1"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 xml:space="preserve"> </w:t>
        </w:r>
        <w:r w:rsidRPr="00017FF5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термінальних станів</w:t>
        </w:r>
        <w:r w:rsidRPr="00017FF5">
          <w:rPr>
            <w:rStyle w:val="Hyperlink"/>
            <w:rFonts w:ascii="Times New Roman" w:hAnsi="Times New Roman"/>
            <w:color w:val="000000"/>
            <w:sz w:val="24"/>
            <w:szCs w:val="24"/>
            <w:lang w:val="uk-UA" w:eastAsia="uk-UA"/>
          </w:rPr>
          <w:t>.</w:t>
        </w:r>
      </w:hyperlink>
    </w:p>
    <w:p w:rsidR="00C95F72" w:rsidRPr="00017FF5" w:rsidRDefault="00C95F72" w:rsidP="00017FF5">
      <w:pPr>
        <w:pStyle w:val="50"/>
        <w:shd w:val="clear" w:color="auto" w:fill="auto"/>
        <w:spacing w:line="480" w:lineRule="exact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Причини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Травма головного мозку.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Отруєння.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Порушення кровообігу у мозкових судинах.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Цукровий діабет.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</w:rPr>
        <w:t xml:space="preserve">Г остра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ниркова та печінкова недостатність.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Порушення водно-електролітного обміну.</w:t>
      </w:r>
    </w:p>
    <w:p w:rsidR="00C95F72" w:rsidRPr="00017FF5" w:rsidRDefault="00C95F72" w:rsidP="00017FF5">
      <w:pPr>
        <w:pStyle w:val="80"/>
        <w:shd w:val="clear" w:color="auto" w:fill="auto"/>
        <w:spacing w:line="494" w:lineRule="exact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Основний патогенетичний механізм: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94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кисневе голодування головного мозку.</w:t>
      </w:r>
    </w:p>
    <w:p w:rsidR="00C95F72" w:rsidRPr="00017FF5" w:rsidRDefault="00C95F72" w:rsidP="00017FF5">
      <w:pPr>
        <w:pStyle w:val="30"/>
        <w:shd w:val="clear" w:color="auto" w:fill="auto"/>
        <w:spacing w:after="201" w:line="360" w:lineRule="exact"/>
        <w:ind w:right="20"/>
        <w:jc w:val="left"/>
        <w:rPr>
          <w:sz w:val="24"/>
          <w:szCs w:val="24"/>
        </w:rPr>
      </w:pPr>
      <w:bookmarkStart w:id="0" w:name="bookmark91"/>
      <w:r w:rsidRPr="00017FF5">
        <w:rPr>
          <w:color w:val="000000"/>
          <w:sz w:val="24"/>
          <w:szCs w:val="24"/>
          <w:lang w:val="uk-UA" w:eastAsia="uk-UA"/>
        </w:rPr>
        <w:t xml:space="preserve">Етіопатогенетична класифікація </w:t>
      </w:r>
      <w:r w:rsidRPr="00017FF5">
        <w:rPr>
          <w:color w:val="000000"/>
          <w:sz w:val="24"/>
          <w:szCs w:val="24"/>
        </w:rPr>
        <w:t>ком</w:t>
      </w:r>
      <w:bookmarkEnd w:id="0"/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66" w:line="280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Коми центрального ґенезу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(епілептичні, травматичні, апоплексичні).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75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Коми при порушенні внутрішніх органів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(печінкова, уремічна, екламптична, хлоремічна, анемічна, аліментарно - дистрофічна).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65"/>
        </w:tabs>
        <w:spacing w:after="0" w:line="480" w:lineRule="exact"/>
        <w:ind w:left="760" w:hanging="34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Коми при порушенні ендокринних залоз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(діабетична, гіпоглікемічна, тиреотоксична, мікседематозна, гіпопітуїтарна, гіпокортикоїдна, надниркова).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  <w:lang w:val="uk-UA"/>
        </w:rPr>
      </w:pP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14"/>
        </w:tabs>
        <w:spacing w:after="0" w:line="480" w:lineRule="exact"/>
        <w:ind w:firstLine="78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Style w:val="60"/>
          <w:b w:val="0"/>
          <w:bCs w:val="0"/>
          <w:sz w:val="24"/>
          <w:szCs w:val="24"/>
        </w:rPr>
        <w:t>Коми інфекційного ґенезу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(при пневмоніях, малярійні, нейроінфекційні, септична та ін.).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14"/>
        </w:tabs>
        <w:spacing w:after="0" w:line="475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Коми при гострих отруєннях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(алкоголем та його сурогатами, медикаментами, чадним газом та ін.).</w:t>
      </w:r>
    </w:p>
    <w:p w:rsidR="00C95F72" w:rsidRPr="00017FF5" w:rsidRDefault="00C95F72" w:rsidP="00017FF5">
      <w:pPr>
        <w:pStyle w:val="50"/>
        <w:numPr>
          <w:ilvl w:val="0"/>
          <w:numId w:val="1"/>
        </w:numPr>
        <w:shd w:val="clear" w:color="auto" w:fill="auto"/>
        <w:tabs>
          <w:tab w:val="left" w:pos="1414"/>
        </w:tabs>
        <w:spacing w:after="162" w:line="280" w:lineRule="exact"/>
        <w:ind w:firstLine="78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Коми, що виникають внаслідок впливу фізичних факторів</w:t>
      </w:r>
    </w:p>
    <w:p w:rsidR="00C95F72" w:rsidRPr="00017FF5" w:rsidRDefault="00C95F72" w:rsidP="00017FF5">
      <w:pPr>
        <w:spacing w:after="168" w:line="280" w:lineRule="exac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(теплова, холодова, променева, дія електричного струму).</w:t>
      </w:r>
    </w:p>
    <w:p w:rsidR="00C95F72" w:rsidRPr="00017FF5" w:rsidRDefault="00C95F72" w:rsidP="00017FF5">
      <w:pPr>
        <w:pStyle w:val="30"/>
        <w:shd w:val="clear" w:color="auto" w:fill="auto"/>
        <w:spacing w:after="0" w:line="360" w:lineRule="exact"/>
        <w:ind w:firstLine="980"/>
        <w:jc w:val="left"/>
        <w:rPr>
          <w:sz w:val="24"/>
          <w:szCs w:val="24"/>
        </w:rPr>
      </w:pPr>
      <w:bookmarkStart w:id="1" w:name="bookmark92"/>
      <w:r w:rsidRPr="00017FF5">
        <w:rPr>
          <w:color w:val="000000"/>
          <w:sz w:val="24"/>
          <w:szCs w:val="24"/>
          <w:lang w:val="uk-UA" w:eastAsia="uk-UA"/>
        </w:rPr>
        <w:t>Основні клінічні характеристики стану свідомості</w:t>
      </w:r>
      <w:bookmarkEnd w:id="1"/>
    </w:p>
    <w:p w:rsidR="00C95F72" w:rsidRPr="00017FF5" w:rsidRDefault="00C95F72" w:rsidP="00017FF5">
      <w:pPr>
        <w:ind w:left="33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ind w:firstLine="98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Ясна свідомість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— повне її збереження, адекватна реакція, повна орієнтація, не спить.</w:t>
      </w:r>
    </w:p>
    <w:p w:rsidR="00C95F72" w:rsidRPr="00017FF5" w:rsidRDefault="00C95F72" w:rsidP="00017FF5">
      <w:pPr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Стадії виключення свідомості: обнубиляція, оглушення, сомноленція, </w:t>
      </w:r>
      <w:r w:rsidRPr="00017FF5">
        <w:rPr>
          <w:rFonts w:ascii="Times New Roman" w:hAnsi="Times New Roman"/>
          <w:color w:val="000000"/>
          <w:sz w:val="24"/>
          <w:szCs w:val="24"/>
        </w:rPr>
        <w:t xml:space="preserve">сопор,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кома. У багатьох випадках при погіршенні стану ці стадії послідовно змінюють друг друга.</w:t>
      </w:r>
    </w:p>
    <w:p w:rsidR="00C95F72" w:rsidRPr="00017FF5" w:rsidRDefault="00C95F72" w:rsidP="00017FF5">
      <w:pPr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Обнубиляція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— «хмарність свідомості», «вуаль на свідомості». Реакції хворих, в першу чергу мовні, сповільнюються. З’являються неуважність, помилки у відповідях. Часто відмічається безпечність настрою. Такі стани у одних випадках продовжуються хвилини, а в інших, наприклад при деяких початкових </w:t>
      </w:r>
      <w:r w:rsidRPr="00017FF5">
        <w:rPr>
          <w:rFonts w:ascii="Times New Roman" w:hAnsi="Times New Roman"/>
          <w:color w:val="000000"/>
          <w:sz w:val="24"/>
          <w:szCs w:val="24"/>
        </w:rPr>
        <w:t xml:space="preserve">формах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прогресуючого паралічу або пухлин головного мозку, продовжуються триваліше.</w:t>
      </w:r>
    </w:p>
    <w:p w:rsidR="00C95F72" w:rsidRPr="00017FF5" w:rsidRDefault="00C95F72" w:rsidP="00017FF5">
      <w:pPr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Оглушення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—характеризується підвищенням порогу чутливості до всіх подразників, ослабленням психічної діяльності, руховою загальмованістю, утрудненням асоціативних процесів. Оглушення можна визначити як стан, при якому зовнішнє насилу стає внутрішнім, а внутрішнє - зовнішнім.</w:t>
      </w:r>
    </w:p>
    <w:p w:rsidR="00C95F72" w:rsidRPr="00017FF5" w:rsidRDefault="00C95F72" w:rsidP="00017FF5">
      <w:pPr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Хворий малорухомий, більшу частину часу проводить в ліжку, лежачи в одноманітній позі. До навколишнього він байдужий, зосереджується дуже важко, відповідає тільки на прості питання, задані гучним голосом, нерідко після багаторазового повторення. Відповіді хворого односкладові (олкгофазія), зі значними латентними періодами (брадіфренія), </w:t>
      </w:r>
      <w:r w:rsidRPr="00017FF5">
        <w:rPr>
          <w:rFonts w:ascii="Times New Roman" w:hAnsi="Times New Roman"/>
          <w:color w:val="000000"/>
          <w:sz w:val="24"/>
          <w:szCs w:val="24"/>
          <w:lang w:val="uk-UA"/>
        </w:rPr>
        <w:t xml:space="preserve">але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завжди адекватні. Голос тихий, без модуляцій, обличчя амімічне. В емоційній сфері домінує байдужість, рідше благодушність. Критична оцінка свого стану відсутня. Після виходу з оглушення спостерігається часткова амнезія. Спогади фрагментарні, бідні, непослідовні. Наприклад, хворий пам'ятає, що він перебував у лікарні, до нього приходили лікарі та родичі, але що саме говорили, які діагностичні маніпуляції йому проводилися, він не пам'ятає.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Style w:val="60"/>
          <w:b w:val="0"/>
          <w:bCs w:val="0"/>
          <w:sz w:val="24"/>
          <w:szCs w:val="24"/>
        </w:rPr>
        <w:t>Сомноленція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— (патологічна сонливість) - більш глибокий ступінь оглушення. Проявляється тривалими періодами повної відсутності контакту з реальною дійсністю. Вивести хворого з цього стану можна, але шляхом інтенсивного спонукання до мовного контакту і на нетривалий час, наданий собі хворий знову «засинає». Слід пам'ятати, що, в деяких випадках, «пробудження» може супроводжуватись гострим психомоторним збудженням з агресією (варіант сутінкового потьмарення свідомості).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Style w:val="60"/>
          <w:b w:val="0"/>
          <w:bCs w:val="0"/>
          <w:sz w:val="24"/>
          <w:szCs w:val="24"/>
        </w:rPr>
        <w:t>Сопор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(міцний сон) — майже повна відсутність свідомості, збереження цілеспрямованих, координуючих захисних рухів, відкривання очей на больові і звукові подразники, епізодичні односкладні відповіді на багатократні повторення питання, нерухомість або автоматизовані стереотипні рухи, втрата контролю за тазовими функціями. Пацієнт лежить нерухомо, очі закриті, лице амімічне. Мовне спілкування з пацієнтом неможливе. Сильні подразники (яскраве світло, сильний звук, больові подразники) викликають не диференційні стереотипні захисні рухові і голосові реакції.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Кома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— повна втрата свідомості з відсутністю реакції на будь-які подразники.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Помірна кома (I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)— повне вимкнення свідомості, хаотичні некоординовані захисні рухи на больові подразники, втрата контролю за тазовими функціями, можливі легкі порушення дихання і серцево-судинної діяльності.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Style w:val="60"/>
          <w:b w:val="0"/>
          <w:bCs w:val="0"/>
          <w:sz w:val="24"/>
          <w:szCs w:val="24"/>
        </w:rPr>
        <w:t>Глибока кома (II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)— повне вимкнення свідомості, відсутність захисних рухів, порушення м’язового тонусу, пригнічення сухожильних рефлексів, глибоке порушення дихання, серцево-судинна декомпенсація.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Default="00C95F72" w:rsidP="00017FF5">
      <w:pPr>
        <w:ind w:left="220" w:firstLine="72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7FF5">
        <w:rPr>
          <w:rStyle w:val="60"/>
          <w:b w:val="0"/>
          <w:bCs w:val="0"/>
          <w:sz w:val="24"/>
          <w:szCs w:val="24"/>
        </w:rPr>
        <w:t>Термінальна кома (III)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— атональний стан, атонія, арефлексія, вітальні функції підтримуються дихальними апаратами і серцево-судинними засобами.</w:t>
      </w:r>
    </w:p>
    <w:p w:rsidR="00C95F72" w:rsidRPr="00017FF5" w:rsidRDefault="00C95F72" w:rsidP="00017FF5">
      <w:pPr>
        <w:pStyle w:val="a2"/>
        <w:framePr w:wrap="none" w:vAnchor="page" w:hAnchor="page" w:x="5110" w:y="5548"/>
        <w:shd w:val="clear" w:color="auto" w:fill="auto"/>
        <w:spacing w:line="280" w:lineRule="exact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Шкала Глазго (1974 р.)</w:t>
      </w:r>
    </w:p>
    <w:p w:rsidR="00C95F72" w:rsidRDefault="00C95F72" w:rsidP="00017FF5">
      <w:pPr>
        <w:ind w:left="220" w:firstLine="720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Оцінку глибини порушення свідомості в екстрених ситуаціях у дорослої людини, не використовуючи спеціальні методи дослідження, можна проводити за шкалою Глазго, а у новонароджених - за шкалою Апгар.</w:t>
      </w:r>
    </w:p>
    <w:p w:rsidR="00C95F72" w:rsidRPr="00017FF5" w:rsidRDefault="00C95F72" w:rsidP="00017FF5">
      <w:pPr>
        <w:ind w:left="220" w:firstLine="72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22"/>
        <w:gridCol w:w="2179"/>
      </w:tblGrid>
      <w:tr w:rsidR="00C95F72" w:rsidRPr="00B36587" w:rsidTr="00BC70C5">
        <w:trPr>
          <w:trHeight w:hRule="exact" w:val="499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Клінічні ознаки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Бали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"/>
                <w:sz w:val="24"/>
                <w:szCs w:val="24"/>
              </w:rPr>
              <w:t>Відкривання очей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B36587" w:rsidRDefault="00C95F72" w:rsidP="0001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72" w:rsidRPr="00B36587" w:rsidTr="00BC70C5">
        <w:trPr>
          <w:trHeight w:hRule="exact" w:val="49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Спонтанне відкривання очей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4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Відкривання очей на звук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3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Відкривання очей на больові подразнення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2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Відсутність відкривання очей на будь-які подразнення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1</w:t>
            </w:r>
          </w:p>
        </w:tc>
      </w:tr>
      <w:tr w:rsidR="00C95F72" w:rsidRPr="00B36587" w:rsidTr="00BC70C5">
        <w:trPr>
          <w:trHeight w:hRule="exact" w:val="49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"/>
                <w:sz w:val="24"/>
                <w:szCs w:val="24"/>
              </w:rPr>
              <w:t>Рухові розлади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B36587" w:rsidRDefault="00C95F72" w:rsidP="0001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Активні рухи, що виконуються за вказівкою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6</w:t>
            </w:r>
          </w:p>
        </w:tc>
      </w:tr>
      <w:tr w:rsidR="00C95F72" w:rsidRPr="00B36587" w:rsidTr="00BC70C5">
        <w:trPr>
          <w:trHeight w:hRule="exact" w:val="653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326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Рухи в кінцівках, спрямовані до місця больового подразнення з метою його усунення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5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Нормальні згинаючі рухи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4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Патологічні згинання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3</w:t>
            </w:r>
          </w:p>
        </w:tc>
      </w:tr>
      <w:tr w:rsidR="00C95F72" w:rsidRPr="00B36587" w:rsidTr="00BC70C5">
        <w:trPr>
          <w:trHeight w:hRule="exact" w:val="49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Збережені тільки розгинаючі рухи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2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Відсутні всілякі рухи, реакція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1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"/>
                <w:sz w:val="24"/>
                <w:szCs w:val="24"/>
              </w:rPr>
              <w:t>Мовні реакції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B36587" w:rsidRDefault="00C95F72" w:rsidP="00017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72" w:rsidRPr="00B36587" w:rsidTr="00BC70C5">
        <w:trPr>
          <w:trHeight w:hRule="exact" w:val="490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Вільна мова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5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Вимова окремих фраз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4</w:t>
            </w:r>
          </w:p>
        </w:tc>
      </w:tr>
      <w:tr w:rsidR="00C95F72" w:rsidRPr="00B36587" w:rsidTr="00BC70C5">
        <w:trPr>
          <w:trHeight w:hRule="exact" w:val="49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Вимова окремих фраз у відповідь на больові подразнення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3</w:t>
            </w:r>
          </w:p>
        </w:tc>
      </w:tr>
      <w:tr w:rsidR="00C95F72" w:rsidRPr="00B36587" w:rsidTr="00BC70C5">
        <w:trPr>
          <w:trHeight w:hRule="exact" w:val="653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Незрозумілі звуки у відповідь на подразнення або спонтанно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2</w:t>
            </w:r>
          </w:p>
        </w:tc>
      </w:tr>
      <w:tr w:rsidR="00C95F72" w:rsidRPr="00B36587" w:rsidTr="00BC70C5">
        <w:trPr>
          <w:trHeight w:hRule="exact" w:val="50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Відсутність мови у відповідь на подразнення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72" w:rsidRPr="00017FF5" w:rsidRDefault="00C95F72" w:rsidP="00017FF5">
            <w:pPr>
              <w:pStyle w:val="4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017FF5">
              <w:rPr>
                <w:rStyle w:val="410"/>
                <w:sz w:val="24"/>
                <w:szCs w:val="24"/>
              </w:rPr>
              <w:t>1</w:t>
            </w:r>
          </w:p>
        </w:tc>
      </w:tr>
    </w:tbl>
    <w:p w:rsidR="00C95F72" w:rsidRPr="00017FF5" w:rsidRDefault="00C95F72" w:rsidP="00017FF5">
      <w:pPr>
        <w:framePr w:w="9701" w:h="1027" w:hRule="exact" w:wrap="none" w:vAnchor="page" w:hAnchor="page" w:x="1487" w:y="14399"/>
        <w:spacing w:line="485" w:lineRule="exact"/>
        <w:ind w:left="220" w:right="28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Інтерпретація отриманих результатів за шкалою Глазго: — 15 балів — свідомість ясна;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widowControl w:val="0"/>
        <w:numPr>
          <w:ilvl w:val="0"/>
          <w:numId w:val="2"/>
        </w:numPr>
        <w:tabs>
          <w:tab w:val="left" w:pos="462"/>
        </w:tabs>
        <w:spacing w:after="0" w:line="48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13-14 балів — оглушення;</w:t>
      </w:r>
    </w:p>
    <w:p w:rsidR="00C95F72" w:rsidRPr="00017FF5" w:rsidRDefault="00C95F72" w:rsidP="00017FF5">
      <w:pPr>
        <w:widowControl w:val="0"/>
        <w:numPr>
          <w:ilvl w:val="0"/>
          <w:numId w:val="2"/>
        </w:numPr>
        <w:tabs>
          <w:tab w:val="left" w:pos="462"/>
        </w:tabs>
        <w:spacing w:after="0" w:line="48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9-12 балів — сопор;</w:t>
      </w:r>
    </w:p>
    <w:p w:rsidR="00C95F72" w:rsidRPr="00017FF5" w:rsidRDefault="00C95F72" w:rsidP="00017FF5">
      <w:pPr>
        <w:widowControl w:val="0"/>
        <w:numPr>
          <w:ilvl w:val="0"/>
          <w:numId w:val="2"/>
        </w:numPr>
        <w:tabs>
          <w:tab w:val="left" w:pos="462"/>
        </w:tabs>
        <w:spacing w:after="0" w:line="48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4-8 балів — кома;</w:t>
      </w:r>
    </w:p>
    <w:p w:rsidR="00C95F72" w:rsidRPr="00017FF5" w:rsidRDefault="00C95F72" w:rsidP="00017FF5">
      <w:pPr>
        <w:widowControl w:val="0"/>
        <w:numPr>
          <w:ilvl w:val="0"/>
          <w:numId w:val="2"/>
        </w:numPr>
        <w:tabs>
          <w:tab w:val="left" w:pos="462"/>
        </w:tabs>
        <w:spacing w:after="0" w:line="48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3 бала — загибель кори мозку.</w:t>
      </w:r>
    </w:p>
    <w:p w:rsidR="00C95F72" w:rsidRPr="00017FF5" w:rsidRDefault="00C95F72" w:rsidP="00017FF5">
      <w:pPr>
        <w:pStyle w:val="50"/>
        <w:shd w:val="clear" w:color="auto" w:fill="auto"/>
        <w:ind w:left="2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Лікування</w:t>
      </w:r>
    </w:p>
    <w:p w:rsidR="00C95F72" w:rsidRPr="00017FF5" w:rsidRDefault="00C95F72" w:rsidP="00017FF5">
      <w:pPr>
        <w:spacing w:line="48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Особливе значення перед початком лікування має: ретельно зібраний анамнез (у рідних, свідків); огляд навколишніх предметів; органолептичне дослідження виділень.</w:t>
      </w:r>
    </w:p>
    <w:p w:rsidR="00C95F72" w:rsidRPr="00017FF5" w:rsidRDefault="00C95F72" w:rsidP="00017FF5">
      <w:pPr>
        <w:pStyle w:val="50"/>
        <w:shd w:val="clear" w:color="auto" w:fill="auto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Основні напрямки лікування: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53"/>
        </w:tabs>
        <w:spacing w:after="0" w:line="485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попередження кисневого голодування мозку;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53"/>
        </w:tabs>
        <w:spacing w:after="0" w:line="499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оксигенотерапія, при необхідності ШВЛ;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53"/>
        </w:tabs>
        <w:spacing w:after="0" w:line="499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ентеральне харчування;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53"/>
        </w:tabs>
        <w:spacing w:after="0" w:line="499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профілактика пролежнів та інше.</w:t>
      </w:r>
    </w:p>
    <w:p w:rsidR="00C95F72" w:rsidRDefault="00C95F72" w:rsidP="00017FF5">
      <w:pPr>
        <w:pStyle w:val="30"/>
        <w:shd w:val="clear" w:color="auto" w:fill="auto"/>
        <w:spacing w:after="31" w:line="360" w:lineRule="exact"/>
        <w:ind w:left="20"/>
        <w:jc w:val="left"/>
        <w:rPr>
          <w:color w:val="000000"/>
          <w:sz w:val="24"/>
          <w:szCs w:val="24"/>
          <w:lang w:val="uk-UA" w:eastAsia="uk-UA"/>
        </w:rPr>
      </w:pPr>
      <w:bookmarkStart w:id="2" w:name="bookmark93"/>
      <w:r w:rsidRPr="00017FF5">
        <w:rPr>
          <w:color w:val="000000"/>
          <w:sz w:val="24"/>
          <w:szCs w:val="24"/>
          <w:lang w:val="uk-UA" w:eastAsia="uk-UA"/>
        </w:rPr>
        <w:t>Діабетична кома</w:t>
      </w:r>
      <w:bookmarkEnd w:id="2"/>
    </w:p>
    <w:p w:rsidR="00C95F72" w:rsidRPr="00017FF5" w:rsidRDefault="00C95F72" w:rsidP="00017FF5">
      <w:pPr>
        <w:pStyle w:val="30"/>
        <w:shd w:val="clear" w:color="auto" w:fill="auto"/>
        <w:spacing w:after="31" w:line="360" w:lineRule="exact"/>
        <w:ind w:left="20"/>
        <w:jc w:val="left"/>
        <w:rPr>
          <w:sz w:val="24"/>
          <w:szCs w:val="24"/>
        </w:rPr>
      </w:pP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Гіперглікемічна кетоацидотична кома - стан, який розвивається в результаті нестачі інсуліну в організмі у хворих на цукровий діабет. Дефіцит інсуліну веде до підвищення концентрації глюкози в крові і "голоду" периферичних інсулінозалежних тканин, не здатних утилізувати глюкозу без участі інсуліну. У відповідь на "голод" організму в печінці починається синтез глюкози (глюконеогенез) і кетонових тіл з ацетил-КоА - розвивається кетоз, а при недостатній утилізації кетонових тіл і посилення ацидозу - кетоацидоз. Накопичення недоокислених продуктів метаболізму, зокрема лактату веде до розвитку лактатацидозу. Г люкоза не засвоюється тканинами - гіперглікемія (підвищується осмолярність крові). Втрата глюкози з сечею. Розкладання жирів, втрата калію і накопичення кетокислот. Вони не метаболізують, ще більше підвищується осмолярність крові. Велика втрата води нирками, в результаті виникає гіповолемія, міжклітинна дегідратація (суха шкіра, знижений тургор).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Клініка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Комі нерідко передують: сонливість, головний біль; спрага, анорексія; нудота, блювота.</w:t>
      </w:r>
    </w:p>
    <w:p w:rsidR="00C95F72" w:rsidRDefault="00C95F72" w:rsidP="00017FF5">
      <w:pPr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Потім настає кома: свідомість відсутня; обличчя бліде або гіперемійоване; шкіра, слизові оболонки сухі; запах ацетону з рота; блювання; тургор тканин знижений, очні яблука м’які; дихання уповільнене, типу Кусмауля; тахікардія, АТ низький; зниження сухожильних рефлексів; у крові: гіперглікемія (до 1 г/л), залишковий азот, лейкоцитоз; в сечі: глюкозурія (до 100% г/л); при гострій нирковій недостатності цукор в сечі зникає, в крові наростають креатиніни.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Лабораторна діагностика.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Діагноз ДКА складається з біохімічної тріади: гіперглікемія, кетонемія та метаболічний ацидоз.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Кров: гіперглікемія (норма до 5.5 ммоль/л)</w:t>
      </w:r>
    </w:p>
    <w:p w:rsidR="00C95F72" w:rsidRPr="00017FF5" w:rsidRDefault="00C95F72" w:rsidP="00017FF5">
      <w:pPr>
        <w:spacing w:line="60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гіпокаліємія (норма до 3,6-5,3 ммоль/л)</w:t>
      </w:r>
    </w:p>
    <w:p w:rsidR="00C95F72" w:rsidRPr="00017FF5" w:rsidRDefault="00C95F72" w:rsidP="00017FF5">
      <w:pPr>
        <w:spacing w:line="60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Зниження лужного резерву крові (норма до 70 об.% СО2).</w:t>
      </w:r>
    </w:p>
    <w:p w:rsidR="00C95F72" w:rsidRPr="00017FF5" w:rsidRDefault="00C95F72" w:rsidP="00017FF5">
      <w:pPr>
        <w:spacing w:line="60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Підвищення осмолярності крові (норма 285-310 ммоль/л).</w:t>
      </w:r>
    </w:p>
    <w:p w:rsidR="00C95F72" w:rsidRPr="00017FF5" w:rsidRDefault="00C95F72" w:rsidP="00017FF5">
      <w:pPr>
        <w:spacing w:line="605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Сеча: глюкозурія, альбумінурія. Лейкоцитурія, циліндрурія.</w:t>
      </w:r>
    </w:p>
    <w:p w:rsidR="00C95F72" w:rsidRPr="00017FF5" w:rsidRDefault="00C95F72" w:rsidP="00017FF5">
      <w:pPr>
        <w:ind w:firstLine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Перша допомога</w:t>
      </w:r>
    </w:p>
    <w:p w:rsidR="00C95F72" w:rsidRPr="00017FF5" w:rsidRDefault="00C95F72" w:rsidP="00017FF5">
      <w:pPr>
        <w:ind w:firstLine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Хворі на цукровий діабет, зазвичай, інформовані своїми лікарями про можливість подібних критичних станах, і тому знають, що робити. В першу чергу дана інформація необхідна для близьких хворого, щоб в подібній ситуації вміли негайно надати першу допомогу.</w:t>
      </w:r>
    </w:p>
    <w:p w:rsidR="00C95F72" w:rsidRPr="00017FF5" w:rsidRDefault="00C95F72" w:rsidP="00017FF5">
      <w:pPr>
        <w:ind w:firstLine="72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Якщо хворий не в змозі самостійно ввести інсулін, то допоможіть йому зробити це. Обов’язково викличте швидку медичну допомогу, так як прекоматозний і коматозний стан вимагає негайної госпіталізації з наданням необхідних заходів щодо усунення хворобливого стану.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Якщо хворий знепритомнів, то необхідно його укласти і стежити за життєвими функціями. Контролюйте його пульс і дихання. У разі зупинки серцевої діяльності негайно починайте реанімаційні заходи.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Лікування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Адекватна, збалансована та патогенетично обґрунтована терапія декомпенсації ЦД повинна бути спрямована на корекцію перерахованих факторів патогенезу та складатися з таких основних компонентів: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6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інсулінотерапія;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6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регідратація;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6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корекція електролітних порушень;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6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корекція ацидозу;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6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діагностика і усунення причин метаболічної кризи.</w:t>
      </w:r>
    </w:p>
    <w:p w:rsidR="00C95F72" w:rsidRPr="00017FF5" w:rsidRDefault="00C95F72" w:rsidP="00017FF5">
      <w:pPr>
        <w:pStyle w:val="80"/>
        <w:shd w:val="clear" w:color="auto" w:fill="auto"/>
        <w:ind w:firstLine="74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Інсулінотерапія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Корекція інсулінової недостатності — провідний вид етіологічного лікування декомпенсації ЦД. Інсулінотерапія розпочинається відразу після встановлення факту наявності у хворого гіперглікемії та ознак декомпенсації</w:t>
      </w:r>
    </w:p>
    <w:p w:rsidR="00C95F72" w:rsidRPr="00017FF5" w:rsidRDefault="00C95F72" w:rsidP="00017FF5">
      <w:pPr>
        <w:spacing w:line="2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ЦД.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Доведено, що інсулінотерапія у режимі «малих доз» більш ефективна і безпечна, ніж у режимі «великих доз». Програма інсулінотерапії має будуватися на таких правилах: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96"/>
        </w:tabs>
        <w:spacing w:after="0" w:line="480" w:lineRule="exact"/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стартовий </w:t>
      </w:r>
      <w:r w:rsidRPr="00017FF5">
        <w:rPr>
          <w:rFonts w:ascii="Times New Roman" w:hAnsi="Times New Roman"/>
          <w:color w:val="000000"/>
          <w:sz w:val="24"/>
          <w:szCs w:val="24"/>
        </w:rPr>
        <w:t xml:space="preserve">болюс: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0,15 одиниці на 1 кг (близько 10 одиниць) внутрішньовенно;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01"/>
        </w:tabs>
        <w:spacing w:after="0" w:line="480" w:lineRule="exact"/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потім — постійна інфузія 2-5 одиниць за 1 годину. Рекомендується застосовувати пристрої для постійного дозованого введення (інфузомати). Початкова швидкість має становити 4-5 одиниць за 1 годину (орієнтовний розрахунок — 0,1 одиниці на 1 кг за 1 годину). Якщо вміст глюкози за перші 3 години не знизився на 30% від початкового рівня (по 10% за годину), стартову дозу збільшують удвічі. При зменшенні глікемії до 16,7 ммоль/л швидкість введення зменшують до 2-4 одииць за 1 годину;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07"/>
        </w:tabs>
        <w:spacing w:after="0" w:line="480" w:lineRule="exact"/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контроль глікемії повинен проводитися кожну годину;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2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швидкість зниження глікемії — не більше 2 ммоль/л за годину;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9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 досягненні 14 ммоль/л в програму інфузійної терапії додають розчини 5% глюкози з адекватною кількістю інсуліну [2].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Проте кінцева мета лікувальних заходів пов’язана не тільки з нормалізацією вмісту глюкози в сироватці крові. Рівень глюкози можна знизити протягом 6 годин, а корекція ацидемії займає вдвічі більше часу. Навіть при хороших показниках вуглеводного обміну ще деякий час (мінімум 2-3 дні) може залишатися ацетонурія та пов’язані з нею явища інтоксикації. Для їх повного усунення потрібна інтенсивна терапія з раціональною програмою інфузій та корекцією електролітного обміну.</w:t>
      </w:r>
    </w:p>
    <w:p w:rsidR="00C95F72" w:rsidRPr="00017FF5" w:rsidRDefault="00C95F72" w:rsidP="00017FF5">
      <w:pPr>
        <w:pStyle w:val="80"/>
        <w:shd w:val="clear" w:color="auto" w:fill="auto"/>
        <w:ind w:firstLine="76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Інфузійна терапія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Інтенсивна інфузійна терапія (регідратація) розпочинається енергійно і в перші години проводиться у високому темпі.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Основні причини порушень водноелектролітного балансу: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2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осмотичний діурез зі втратою води та електролітів (№, К, Са, Mg, СІ,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Р04);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2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використання сечогінних препаратів;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2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лихоманка, пронос;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02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нудота, блювання;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91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нестача інсуліну (інсулін стимулює реабсорбцію води та натрію в проксимальних канальцях).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Всі ці причини сприяють тому, що загальний дефіцит води при ДКА може становити близько 100 мл на 1 кг маси тіла і досягати 6-7 літрів. Крім рідини, при ДКА відзначаються великі втрати електролітів. Так, дефіцит натрію становить 7-10 ммоль/л, калію, хлору та фосфатів — по 3-5 ммоль/л.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адекватної регідратаційної терапії та відновлення втрат електролітів і рідини потрібно дотримуватися таких правил інфузійної терапії: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95"/>
        </w:tabs>
        <w:spacing w:after="0" w:line="480" w:lineRule="exact"/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розпочинається енергійно і в перші години проводиться у високому темпі ;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лікування починають зі введення сольових розчинів (наприклад, ізотонічного розчину натрію хлориду);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1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попередження розвитку ускладнень інфузійну терапію сольовими розчинами слід доповнювати введенням колоїдних та багатокомпонентних розчинів, які здатні утримуватися в судинному руслі та підтримувати онкотичний тиск і рН крові [4].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Інфузійна терапія повинна бути індивідуалізована відповідно до ступеня дегідратації пацієнта, ментального статусу та наявних супутніх захворювань, таких як серцева недостатність.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Обираючи засіб для інфузійної терапії, слід пам’ятати: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1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енергійне переливання великої кількості кристалоїдів пов’язане з небезпекою розвитку набряку мозку чи легень;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17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розчин альбуміну використовувати недоцільно через його здатність до глюкозування в умовах підвищеного рівня глюкози в крові;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22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інші плазмозамінники — похідні декстранів (реополіглюкін) та полівінілпіролідону (неогемодез) — в ході свого метаболізму розщеплюються до глюкози. Їх застосування у великих об’ємах може спровокувати у хворих тяжку гіперглікемію;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222"/>
        </w:tabs>
        <w:spacing w:after="0" w:line="480" w:lineRule="exact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натрію гідрокарбонат в щоденній практиці не застосовується, оскільки він не тільки не сприяє виведенню хворих зі стану кетоацидозу, </w:t>
      </w:r>
      <w:r w:rsidRPr="00017FF5">
        <w:rPr>
          <w:rFonts w:ascii="Times New Roman" w:hAnsi="Times New Roman"/>
          <w:color w:val="000000"/>
          <w:sz w:val="24"/>
          <w:szCs w:val="24"/>
          <w:lang w:val="uk-UA"/>
        </w:rPr>
        <w:t xml:space="preserve">але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й сприяє утворенню кетонових тіл .</w:t>
      </w:r>
    </w:p>
    <w:p w:rsidR="00C95F72" w:rsidRPr="00017FF5" w:rsidRDefault="00C95F72" w:rsidP="00017FF5">
      <w:pPr>
        <w:pStyle w:val="80"/>
        <w:shd w:val="clear" w:color="auto" w:fill="auto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Корекція електролітних порушень</w:t>
      </w:r>
    </w:p>
    <w:p w:rsidR="00C95F72" w:rsidRPr="00017FF5" w:rsidRDefault="00C95F72" w:rsidP="00017FF5">
      <w:pPr>
        <w:ind w:firstLine="76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Вище згадувалося, що </w:t>
      </w:r>
      <w:r w:rsidRPr="00017FF5">
        <w:rPr>
          <w:rFonts w:ascii="Times New Roman" w:hAnsi="Times New Roman"/>
          <w:color w:val="000000"/>
          <w:sz w:val="24"/>
          <w:szCs w:val="24"/>
          <w:lang w:val="uk-UA"/>
        </w:rPr>
        <w:t xml:space="preserve">кетоацидоз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часто супроводжує гіпокаліємія, яка зазвичай розвивається на 3-5-у годину лікування внаслідок інтенсивного надходження калію в клітину. У повсякденній практиці головними орієнтирами в початку замісної терапії препаратами калію залишаються: </w:t>
      </w:r>
      <w:r w:rsidRPr="00017FF5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час,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який пройшов від початку введення інсуліну та рідини (3-5 годин), та зниження початкової гіперглікемії. Саме в цей час, особливо при збільшеному діурезі, гіпокаліємія починає бути реальною навіть без відповідних змін на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електрокардіограмі. Традиційно вважається необхідним розпочинати введення калію на 2-ій годині лікування інфузійними розчинами та інсуліном.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Доза </w:t>
      </w:r>
      <w:r w:rsidRPr="00017FF5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KCl,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що вводиться внутрішньовенно, залежить від концентрації калію в плазмі крові. Необхідно підтримувати </w:t>
      </w:r>
      <w:r w:rsidRPr="00017FF5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K+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плазми між 4-5 ммоль/л. Як правило, для цього застосовують 40-60 мл 4% </w:t>
      </w:r>
      <w:r w:rsidRPr="00017FF5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KCl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на кожні 400-500 мл інфузійного розчину. Застосовують також розчин панангіну чи аспаркаму — по 20 мл на 400-500 мл інфузійного розчину.</w:t>
      </w:r>
    </w:p>
    <w:p w:rsidR="00C95F72" w:rsidRPr="00017FF5" w:rsidRDefault="00C95F72" w:rsidP="00017FF5">
      <w:pPr>
        <w:pStyle w:val="80"/>
        <w:shd w:val="clear" w:color="auto" w:fill="auto"/>
        <w:ind w:firstLine="74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Корекція ацидозу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корекції ацидозу слід пам’ятати, що діабетичний ацидоз розвивається через посилене надходження кетонових тіл внаслідок інсулінової недостатності. Тому етіологічним лікуванням даного виду ацидозу є замісна інсулінотерапія, яка в більшості випадків допомагає його усунути [5]. Корекція ацидозу бікарбонатом натрію, яка дуже широко використовувалася раніше, пов’язана з високим ризиком ускладнень. Зокрема, введення бікарбонату натрію: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47"/>
        </w:tabs>
        <w:spacing w:after="0" w:line="480" w:lineRule="exact"/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посилює властиву ДКА гіпокаліємію;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47"/>
        </w:tabs>
        <w:spacing w:after="0" w:line="480" w:lineRule="exact"/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порушує дисоціацію оксигемоглобіну;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937"/>
        </w:tabs>
        <w:spacing w:after="0" w:line="480" w:lineRule="exact"/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посилює внутрішньоклітинний ацидоз та ацидоз спинномозкової рідини (що може призводити до набряку мозку).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Нині рекомендації щодо використання бікарбонату натрію при ДКА обмежені необхідністю парціальної корекції метаболічного ацидозу тяжкого ступеня, коли </w:t>
      </w:r>
      <w:r w:rsidRPr="00017FF5">
        <w:rPr>
          <w:rFonts w:ascii="Times New Roman" w:hAnsi="Times New Roman"/>
          <w:color w:val="000000"/>
          <w:sz w:val="24"/>
          <w:szCs w:val="24"/>
          <w:lang w:val="de-DE" w:eastAsia="de-DE"/>
        </w:rPr>
        <w:t xml:space="preserve">pH </w:t>
      </w: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крові менше 7,0. Якщо немає можливості визначити показник кислотнолужного стану, за наявності гіперпное можливе використання бікарбонату натрію в дозі 1 ммоль на 1 кг маси тіла одноразово.</w:t>
      </w:r>
    </w:p>
    <w:p w:rsidR="00C95F72" w:rsidRPr="00017FF5" w:rsidRDefault="00C95F72" w:rsidP="00017FF5">
      <w:pPr>
        <w:ind w:firstLine="7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8,4% розчин бікарбонату натрію не рекомендується використовувати через його гіперосмолярність. Останнім часом також не призначають розчин питної соди ні перорально, ні ректально, що доволі широко практикувалося раніше.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Важливим компонентом в інтенсивній терапії ДКА є діагностика і лікування захворювання, яке спричинило декомпенсацію цукрового діабету.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Часто це інфекція (прихована) сечових або дихальних шляхів. З метою діагностики проводять засів крові, засів середньої порції сечі, рентгенологічне дослідження грудної клітки тощо.</w:t>
      </w:r>
    </w:p>
    <w:p w:rsidR="00C95F72" w:rsidRPr="00017FF5" w:rsidRDefault="00C95F72" w:rsidP="00017FF5">
      <w:pPr>
        <w:ind w:firstLine="9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Гіперосмолярна некетоацидотична кома</w:t>
      </w:r>
    </w:p>
    <w:p w:rsidR="00C95F72" w:rsidRPr="00017FF5" w:rsidRDefault="00C95F72" w:rsidP="00017FF5">
      <w:pPr>
        <w:ind w:firstLine="940"/>
        <w:rPr>
          <w:rFonts w:ascii="Times New Roman" w:hAnsi="Times New Roman"/>
          <w:sz w:val="24"/>
          <w:szCs w:val="24"/>
          <w:lang w:val="uk-UA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Один із варіантів декомпенсації цукрового діабету. Виникає у хворих на цукровий діабет, переважно старшого віку, на фоні значної втрати води (при проносах, блюванні, опіках, надмірному потовиділенні й діурезі). Перебігає без кетоацидозу з високою гіперглікемією, різкою гіпернатріємією, азотемією, зневодненням.</w:t>
      </w:r>
    </w:p>
    <w:p w:rsidR="00C95F72" w:rsidRPr="00017FF5" w:rsidRDefault="00C95F72" w:rsidP="00017FF5">
      <w:pPr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Клініка.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9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Кома виникає поступово, частіше протягом 5-10 днів.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9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 либока кома спостерігається рідко, частіше - сопор.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9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Виражена дегідратація.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9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Вогнищева неврологічна симптоматика.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9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Нерідко підвищується температура тіла.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9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Не спостерігається дихання Куссмауля.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85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Відсутні запах ацетону, ацетонурія, гіперкетонемія.</w:t>
      </w:r>
    </w:p>
    <w:p w:rsidR="00C95F72" w:rsidRPr="00017FF5" w:rsidRDefault="00C95F72" w:rsidP="00017FF5">
      <w:pPr>
        <w:spacing w:line="485" w:lineRule="exact"/>
        <w:ind w:firstLine="9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Гіперлактоцидемічна кома</w:t>
      </w:r>
    </w:p>
    <w:p w:rsidR="00C95F72" w:rsidRPr="00017FF5" w:rsidRDefault="00C95F72" w:rsidP="00017FF5">
      <w:pPr>
        <w:spacing w:line="485" w:lineRule="exact"/>
        <w:ind w:firstLine="9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Трапляється значно рідше, ніж кетоацидоз чи гіперосмолярна кома.</w:t>
      </w:r>
    </w:p>
    <w:p w:rsidR="00C95F72" w:rsidRPr="00017FF5" w:rsidRDefault="00C95F72" w:rsidP="00017FF5">
      <w:pPr>
        <w:spacing w:line="485" w:lineRule="exact"/>
        <w:ind w:firstLine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Рівень лактату (молочна кислота) підвищується вище 2 ммоль/л (при нормі - 0,4-1,4 ммоль/л), рН крові знижується до 7,3.</w:t>
      </w:r>
    </w:p>
    <w:p w:rsidR="00C95F72" w:rsidRPr="00017FF5" w:rsidRDefault="00C95F72" w:rsidP="00017FF5">
      <w:pPr>
        <w:spacing w:line="485" w:lineRule="exact"/>
        <w:ind w:firstLine="94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 іпоглікемічна кома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85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передозуванні інсуліну. При зменшенні введення вуглеводів.</w:t>
      </w:r>
    </w:p>
    <w:p w:rsidR="00C95F72" w:rsidRPr="00017FF5" w:rsidRDefault="00C95F72" w:rsidP="00017FF5">
      <w:pPr>
        <w:spacing w:line="485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Клініка</w:t>
      </w:r>
    </w:p>
    <w:p w:rsidR="00C95F72" w:rsidRPr="00017FF5" w:rsidRDefault="00C95F72" w:rsidP="00017FF5">
      <w:pPr>
        <w:pStyle w:val="50"/>
        <w:shd w:val="clear" w:color="auto" w:fill="auto"/>
        <w:ind w:left="72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Комі нерідко передують: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85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страх, булімія, дратівливість, іноді диплопія;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0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галюцинації, тонічні та клонічні судоми.</w:t>
      </w:r>
    </w:p>
    <w:p w:rsidR="00C95F72" w:rsidRPr="00017FF5" w:rsidRDefault="00C95F72" w:rsidP="00017FF5">
      <w:pPr>
        <w:pStyle w:val="50"/>
        <w:shd w:val="clear" w:color="auto" w:fill="auto"/>
        <w:spacing w:line="490" w:lineRule="exact"/>
        <w:ind w:left="72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Потім настає кома: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32"/>
        </w:tabs>
        <w:spacing w:after="0" w:line="490" w:lineRule="exact"/>
        <w:ind w:left="72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хворий швидко втрачає свідомість, профузний піт;</w:t>
      </w:r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 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2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шкіра волога, бліда, дихання поверхневе, ритмічне;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85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тризм щелеп, в крові: гіпоглікемія.</w:t>
      </w:r>
    </w:p>
    <w:p w:rsidR="00C95F72" w:rsidRPr="00017FF5" w:rsidRDefault="00C95F72" w:rsidP="00017FF5">
      <w:pPr>
        <w:spacing w:line="485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Якщо кома більше 3 годин - можливі грубі органічні ураження центральної нервової системи.</w:t>
      </w:r>
    </w:p>
    <w:p w:rsidR="00C95F72" w:rsidRPr="00017FF5" w:rsidRDefault="00C95F72" w:rsidP="00017FF5">
      <w:pPr>
        <w:spacing w:line="485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Лікування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85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Терміново в/в 20-40% розчин глюкози без інсуліну частими краплями до відновлення свідомості.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157" w:line="2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Після чого солодкий чай, білий хліб, мед.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2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Контроль цукру в крові.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Порушення геодинаміки і дихання ліквідують за загальними правилами.</w:t>
      </w:r>
    </w:p>
    <w:p w:rsidR="00C95F72" w:rsidRPr="00017FF5" w:rsidRDefault="00C95F72" w:rsidP="00017FF5">
      <w:pPr>
        <w:pStyle w:val="30"/>
        <w:shd w:val="clear" w:color="auto" w:fill="auto"/>
        <w:spacing w:after="0" w:line="360" w:lineRule="exact"/>
        <w:ind w:left="1660"/>
        <w:jc w:val="left"/>
        <w:rPr>
          <w:sz w:val="24"/>
          <w:szCs w:val="24"/>
        </w:rPr>
      </w:pPr>
      <w:bookmarkStart w:id="3" w:name="bookmark94"/>
      <w:r w:rsidRPr="00017FF5">
        <w:rPr>
          <w:color w:val="000000"/>
          <w:sz w:val="24"/>
          <w:szCs w:val="24"/>
          <w:lang w:val="uk-UA" w:eastAsia="uk-UA"/>
        </w:rPr>
        <w:t>Кома при травматичних ураженнях мозку</w:t>
      </w:r>
      <w:bookmarkEnd w:id="3"/>
    </w:p>
    <w:p w:rsidR="00C95F72" w:rsidRPr="00017FF5" w:rsidRDefault="00C95F72" w:rsidP="00017FF5">
      <w:pPr>
        <w:pStyle w:val="43"/>
        <w:shd w:val="clear" w:color="auto" w:fill="auto"/>
        <w:spacing w:before="0" w:after="0" w:line="480" w:lineRule="exact"/>
        <w:ind w:firstLine="780"/>
        <w:jc w:val="left"/>
        <w:rPr>
          <w:sz w:val="24"/>
          <w:szCs w:val="24"/>
        </w:rPr>
      </w:pPr>
      <w:bookmarkStart w:id="4" w:name="bookmark95"/>
      <w:r w:rsidRPr="00017FF5">
        <w:rPr>
          <w:color w:val="000000"/>
          <w:sz w:val="24"/>
          <w:szCs w:val="24"/>
          <w:lang w:val="uk-UA" w:eastAsia="uk-UA"/>
        </w:rPr>
        <w:t>Клініка</w:t>
      </w:r>
      <w:bookmarkEnd w:id="4"/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Залежить від рівня ураження, частини мозку (півкулі, середній мозок, стовбур) і вторинних явищ в результаті гематом, вогнищ забою і набряку мозку.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Втрата свідомості часто супроводжується вогнищевими симптомами, клоніко - тонічними судомами, мідріазом (частіше одностороннім), порушенням дихання.</w:t>
      </w:r>
    </w:p>
    <w:p w:rsidR="00C95F72" w:rsidRPr="00017FF5" w:rsidRDefault="00C95F72" w:rsidP="00017FF5">
      <w:pPr>
        <w:pStyle w:val="50"/>
        <w:shd w:val="clear" w:color="auto" w:fill="auto"/>
        <w:spacing w:line="480" w:lineRule="exact"/>
        <w:ind w:firstLine="78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Лікування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Внутрішньочерепний крововилив - оперативне.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280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Терапія травматичного набряку мозку.</w:t>
      </w:r>
    </w:p>
    <w:p w:rsidR="00C95F72" w:rsidRPr="00017FF5" w:rsidRDefault="00C95F72" w:rsidP="00017FF5">
      <w:pPr>
        <w:spacing w:line="499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Крім загальних реанімаційних заходів призначають: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99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великі дози глюкокортикоїдних гормонів;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99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гіпервентиляцію;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1469"/>
        </w:tabs>
        <w:spacing w:after="0" w:line="499" w:lineRule="exact"/>
        <w:ind w:firstLine="78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осмотичні диуретики, лазикс.</w:t>
      </w:r>
    </w:p>
    <w:p w:rsidR="00C95F72" w:rsidRPr="00017FF5" w:rsidRDefault="00C95F72" w:rsidP="00017FF5">
      <w:pPr>
        <w:pStyle w:val="30"/>
        <w:shd w:val="clear" w:color="auto" w:fill="auto"/>
        <w:spacing w:after="136" w:line="360" w:lineRule="exact"/>
        <w:ind w:left="3740"/>
        <w:jc w:val="left"/>
        <w:rPr>
          <w:sz w:val="24"/>
          <w:szCs w:val="24"/>
        </w:rPr>
      </w:pPr>
      <w:bookmarkStart w:id="5" w:name="bookmark96"/>
      <w:r w:rsidRPr="00017FF5">
        <w:rPr>
          <w:color w:val="000000"/>
          <w:sz w:val="24"/>
          <w:szCs w:val="24"/>
          <w:lang w:val="uk-UA" w:eastAsia="uk-UA"/>
        </w:rPr>
        <w:t>Гіпоксична кома</w:t>
      </w:r>
      <w:bookmarkEnd w:id="5"/>
    </w:p>
    <w:p w:rsidR="00C95F72" w:rsidRPr="00017FF5" w:rsidRDefault="00C95F72" w:rsidP="00017FF5">
      <w:pPr>
        <w:pStyle w:val="43"/>
        <w:shd w:val="clear" w:color="auto" w:fill="auto"/>
        <w:spacing w:before="0" w:after="0" w:line="280" w:lineRule="exact"/>
        <w:ind w:firstLine="780"/>
        <w:jc w:val="left"/>
        <w:rPr>
          <w:sz w:val="24"/>
          <w:szCs w:val="24"/>
        </w:rPr>
      </w:pPr>
      <w:bookmarkStart w:id="6" w:name="bookmark97"/>
      <w:r w:rsidRPr="00017FF5">
        <w:rPr>
          <w:color w:val="000000"/>
          <w:sz w:val="24"/>
          <w:szCs w:val="24"/>
          <w:lang w:val="uk-UA" w:eastAsia="uk-UA"/>
        </w:rPr>
        <w:t>Причини</w:t>
      </w:r>
      <w:bookmarkEnd w:id="6"/>
    </w:p>
    <w:p w:rsidR="00C95F72" w:rsidRPr="00017FF5" w:rsidRDefault="00C95F72" w:rsidP="00017FF5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017FF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C95F72" w:rsidRPr="00017FF5" w:rsidRDefault="00C95F72" w:rsidP="00017FF5">
      <w:pPr>
        <w:spacing w:line="494" w:lineRule="exact"/>
        <w:ind w:firstLine="7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• Функціональне виключення або загибель різних елементів ЦНС, які найбільше чутливі до кисневого голодування.</w:t>
      </w:r>
    </w:p>
    <w:p w:rsidR="00C95F72" w:rsidRPr="00017FF5" w:rsidRDefault="00C95F72" w:rsidP="00017FF5">
      <w:pPr>
        <w:pStyle w:val="43"/>
        <w:shd w:val="clear" w:color="auto" w:fill="auto"/>
        <w:spacing w:before="0" w:after="0" w:line="494" w:lineRule="exact"/>
        <w:ind w:firstLine="700"/>
        <w:jc w:val="left"/>
        <w:rPr>
          <w:sz w:val="24"/>
          <w:szCs w:val="24"/>
        </w:rPr>
      </w:pPr>
      <w:bookmarkStart w:id="7" w:name="bookmark98"/>
      <w:r w:rsidRPr="00017FF5">
        <w:rPr>
          <w:color w:val="000000"/>
          <w:sz w:val="24"/>
          <w:szCs w:val="24"/>
          <w:lang w:val="uk-UA" w:eastAsia="uk-UA"/>
        </w:rPr>
        <w:t>Симптоми</w:t>
      </w:r>
      <w:bookmarkEnd w:id="7"/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Паралічі, парези.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Прояви підвищеної рухомої або психічної активності.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Судоми, гіперкінези. Децеребральна ригідність.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280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Ураження тазових органів.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557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В’ялі парапарези - спинальні порушення.</w:t>
      </w:r>
    </w:p>
    <w:p w:rsidR="00C95F72" w:rsidRPr="00017FF5" w:rsidRDefault="00C95F72" w:rsidP="00017FF5">
      <w:pPr>
        <w:pStyle w:val="30"/>
        <w:shd w:val="clear" w:color="auto" w:fill="auto"/>
        <w:spacing w:after="0" w:line="557" w:lineRule="exact"/>
        <w:ind w:right="300"/>
        <w:jc w:val="left"/>
        <w:rPr>
          <w:sz w:val="24"/>
          <w:szCs w:val="24"/>
        </w:rPr>
      </w:pPr>
      <w:bookmarkStart w:id="8" w:name="bookmark99"/>
      <w:r w:rsidRPr="00017FF5">
        <w:rPr>
          <w:color w:val="000000"/>
          <w:sz w:val="24"/>
          <w:szCs w:val="24"/>
          <w:lang w:val="uk-UA" w:eastAsia="uk-UA"/>
        </w:rPr>
        <w:t>Гіпохлоремічна кома</w:t>
      </w:r>
      <w:bookmarkEnd w:id="8"/>
    </w:p>
    <w:p w:rsidR="00C95F72" w:rsidRPr="00017FF5" w:rsidRDefault="00C95F72" w:rsidP="00017FF5">
      <w:pPr>
        <w:pStyle w:val="43"/>
        <w:shd w:val="clear" w:color="auto" w:fill="auto"/>
        <w:spacing w:before="0" w:after="0" w:line="557" w:lineRule="exact"/>
        <w:ind w:firstLine="700"/>
        <w:jc w:val="left"/>
        <w:rPr>
          <w:sz w:val="24"/>
          <w:szCs w:val="24"/>
        </w:rPr>
      </w:pPr>
      <w:bookmarkStart w:id="9" w:name="bookmark100"/>
      <w:r w:rsidRPr="00017FF5">
        <w:rPr>
          <w:color w:val="000000"/>
          <w:sz w:val="24"/>
          <w:szCs w:val="24"/>
          <w:lang w:val="uk-UA" w:eastAsia="uk-UA"/>
        </w:rPr>
        <w:t>Причини</w:t>
      </w:r>
      <w:bookmarkEnd w:id="9"/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157" w:line="280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Нестримне блювання. Проноси.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280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Хронічний нефрит. Гіперфункція кори наднирків.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85" w:lineRule="exact"/>
        <w:ind w:left="700" w:hanging="3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Виникає гіпохлоремічний алкалоз, гемічна гіпоксія (порушення киснево - зв’язувальної функції гемоглобіну) і порушення м’яза серця.</w:t>
      </w:r>
    </w:p>
    <w:p w:rsidR="00C95F72" w:rsidRPr="00017FF5" w:rsidRDefault="00C95F72" w:rsidP="00017FF5">
      <w:pPr>
        <w:pStyle w:val="43"/>
        <w:shd w:val="clear" w:color="auto" w:fill="auto"/>
        <w:spacing w:before="0" w:after="0" w:line="485" w:lineRule="exact"/>
        <w:ind w:firstLine="700"/>
        <w:jc w:val="left"/>
        <w:rPr>
          <w:sz w:val="24"/>
          <w:szCs w:val="24"/>
        </w:rPr>
      </w:pPr>
      <w:bookmarkStart w:id="10" w:name="bookmark101"/>
      <w:r w:rsidRPr="00017FF5">
        <w:rPr>
          <w:color w:val="000000"/>
          <w:sz w:val="24"/>
          <w:szCs w:val="24"/>
          <w:lang w:val="uk-UA" w:eastAsia="uk-UA"/>
        </w:rPr>
        <w:t>Клініка</w:t>
      </w:r>
      <w:bookmarkEnd w:id="10"/>
    </w:p>
    <w:p w:rsidR="00C95F72" w:rsidRPr="00017FF5" w:rsidRDefault="00C95F72" w:rsidP="00017FF5">
      <w:pPr>
        <w:pStyle w:val="50"/>
        <w:shd w:val="clear" w:color="auto" w:fill="auto"/>
        <w:ind w:firstLine="70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В прекоматозному стані: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85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часте нестримне блювання; рясний діурез;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потім втрата свідомості;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пригнічення сухожильних рефлексів; менінгіальні рефлекси;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гіпотонія;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виражені зневоднення і згущення крові (високі показники НЬ і Ш);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гіпохлоремія; азотемія.</w:t>
      </w:r>
    </w:p>
    <w:p w:rsidR="00C95F72" w:rsidRPr="00017FF5" w:rsidRDefault="00C95F72" w:rsidP="00017FF5">
      <w:pPr>
        <w:pStyle w:val="50"/>
        <w:shd w:val="clear" w:color="auto" w:fill="auto"/>
        <w:spacing w:line="494" w:lineRule="exact"/>
        <w:ind w:firstLine="700"/>
        <w:rPr>
          <w:sz w:val="24"/>
          <w:szCs w:val="24"/>
        </w:rPr>
      </w:pPr>
      <w:r w:rsidRPr="00017FF5">
        <w:rPr>
          <w:color w:val="000000"/>
          <w:sz w:val="24"/>
          <w:szCs w:val="24"/>
          <w:lang w:val="uk-UA" w:eastAsia="uk-UA"/>
        </w:rPr>
        <w:t>Лікування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Відновлення хлору в крові.</w:t>
      </w:r>
    </w:p>
    <w:p w:rsidR="00C95F72" w:rsidRPr="00017FF5" w:rsidRDefault="00C95F72" w:rsidP="00017FF5">
      <w:pPr>
        <w:widowControl w:val="0"/>
        <w:numPr>
          <w:ilvl w:val="0"/>
          <w:numId w:val="1"/>
        </w:numPr>
        <w:tabs>
          <w:tab w:val="left" w:pos="748"/>
        </w:tabs>
        <w:spacing w:after="0" w:line="494" w:lineRule="exact"/>
        <w:ind w:left="400"/>
        <w:rPr>
          <w:rFonts w:ascii="Times New Roman" w:hAnsi="Times New Roman"/>
          <w:sz w:val="24"/>
          <w:szCs w:val="24"/>
        </w:rPr>
      </w:pPr>
      <w:r w:rsidRPr="00017FF5">
        <w:rPr>
          <w:rFonts w:ascii="Times New Roman" w:hAnsi="Times New Roman"/>
          <w:color w:val="000000"/>
          <w:sz w:val="24"/>
          <w:szCs w:val="24"/>
          <w:lang w:val="uk-UA" w:eastAsia="uk-UA"/>
        </w:rPr>
        <w:t>В/в 10% розчин натрію хлориду і фізіологічний розчин натрію хлориду.</w:t>
      </w:r>
    </w:p>
    <w:sectPr w:rsidR="00C95F72" w:rsidRPr="00017FF5" w:rsidSect="00017FF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63D"/>
    <w:multiLevelType w:val="multilevel"/>
    <w:tmpl w:val="FFCE50B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653ADE"/>
    <w:multiLevelType w:val="multilevel"/>
    <w:tmpl w:val="2E3E493E"/>
    <w:lvl w:ilvl="0">
      <w:start w:val="1"/>
      <w:numFmt w:val="bullet"/>
      <w:lvlText w:val="—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FF5"/>
    <w:rsid w:val="00017FF5"/>
    <w:rsid w:val="00362684"/>
    <w:rsid w:val="0038003B"/>
    <w:rsid w:val="00877271"/>
    <w:rsid w:val="00B36587"/>
    <w:rsid w:val="00BC70C5"/>
    <w:rsid w:val="00C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7FF5"/>
    <w:rPr>
      <w:rFonts w:cs="Times New Roman"/>
      <w:color w:val="0066CC"/>
      <w:u w:val="single"/>
    </w:rPr>
  </w:style>
  <w:style w:type="character" w:customStyle="1" w:styleId="a">
    <w:name w:val="Колонтитул_"/>
    <w:basedOn w:val="DefaultParagraphFont"/>
    <w:link w:val="a0"/>
    <w:uiPriority w:val="99"/>
    <w:locked/>
    <w:rsid w:val="00017FF5"/>
    <w:rPr>
      <w:rFonts w:ascii="Georgia" w:eastAsia="Times New Roman" w:hAnsi="Georgia" w:cs="Georgia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17FF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017FF5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1">
    <w:name w:val="Основной текст (4) + Полужирный"/>
    <w:aliases w:val="Курсив"/>
    <w:basedOn w:val="4"/>
    <w:uiPriority w:val="99"/>
    <w:rsid w:val="00017FF5"/>
    <w:rPr>
      <w:b/>
      <w:bCs/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17FF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DefaultParagraphFont"/>
    <w:uiPriority w:val="99"/>
    <w:rsid w:val="00017FF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0">
    <w:name w:val="Основной текст (4) + Полужирный1"/>
    <w:basedOn w:val="4"/>
    <w:uiPriority w:val="99"/>
    <w:rsid w:val="00017FF5"/>
    <w:rPr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42">
    <w:name w:val="Заголовок №4_"/>
    <w:basedOn w:val="DefaultParagraphFont"/>
    <w:link w:val="43"/>
    <w:uiPriority w:val="99"/>
    <w:locked/>
    <w:rsid w:val="00017FF5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017FF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Курсив"/>
    <w:basedOn w:val="6"/>
    <w:uiPriority w:val="99"/>
    <w:rsid w:val="00017FF5"/>
    <w:rPr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017FF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017FF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1">
    <w:name w:val="Основной текст (6)"/>
    <w:basedOn w:val="6"/>
    <w:uiPriority w:val="99"/>
    <w:rsid w:val="00017FF5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017FF5"/>
    <w:rPr>
      <w:rFonts w:ascii="Verdana" w:eastAsia="Times New Roman" w:hAnsi="Verdana" w:cs="Verdana"/>
      <w:i/>
      <w:iCs/>
      <w:sz w:val="8"/>
      <w:szCs w:val="8"/>
      <w:shd w:val="clear" w:color="auto" w:fill="FFFFFF"/>
    </w:rPr>
  </w:style>
  <w:style w:type="character" w:customStyle="1" w:styleId="616pt">
    <w:name w:val="Основной текст (6) + 16 pt"/>
    <w:aliases w:val="Интервал 0 pt"/>
    <w:basedOn w:val="6"/>
    <w:uiPriority w:val="99"/>
    <w:rsid w:val="00017FF5"/>
    <w:rPr>
      <w:color w:val="000000"/>
      <w:spacing w:val="-10"/>
      <w:w w:val="100"/>
      <w:position w:val="0"/>
      <w:sz w:val="32"/>
      <w:szCs w:val="32"/>
      <w:lang w:val="uk-UA" w:eastAsia="uk-UA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017FF5"/>
    <w:rPr>
      <w:rFonts w:ascii="Verdana" w:eastAsia="Times New Roman" w:hAnsi="Verdana" w:cs="Verdana"/>
      <w:sz w:val="8"/>
      <w:szCs w:val="8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017FF5"/>
    <w:pPr>
      <w:widowControl w:val="0"/>
      <w:shd w:val="clear" w:color="auto" w:fill="FFFFFF"/>
      <w:spacing w:after="0" w:line="240" w:lineRule="atLeast"/>
    </w:pPr>
    <w:rPr>
      <w:rFonts w:ascii="Georgia" w:hAnsi="Georgia" w:cs="Georgia"/>
      <w:b/>
      <w:bCs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017FF5"/>
    <w:pPr>
      <w:widowControl w:val="0"/>
      <w:shd w:val="clear" w:color="auto" w:fill="FFFFFF"/>
      <w:spacing w:after="0" w:line="480" w:lineRule="exact"/>
      <w:ind w:firstLine="920"/>
      <w:jc w:val="both"/>
    </w:pPr>
    <w:rPr>
      <w:rFonts w:ascii="Times New Roman" w:hAnsi="Times New Roman"/>
      <w:sz w:val="28"/>
      <w:szCs w:val="28"/>
    </w:rPr>
  </w:style>
  <w:style w:type="paragraph" w:customStyle="1" w:styleId="30">
    <w:name w:val="Заголовок №3"/>
    <w:basedOn w:val="Normal"/>
    <w:link w:val="3"/>
    <w:uiPriority w:val="99"/>
    <w:rsid w:val="00017FF5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50">
    <w:name w:val="Основной текст (5)"/>
    <w:basedOn w:val="Normal"/>
    <w:link w:val="5"/>
    <w:uiPriority w:val="99"/>
    <w:rsid w:val="00017FF5"/>
    <w:pPr>
      <w:widowControl w:val="0"/>
      <w:shd w:val="clear" w:color="auto" w:fill="FFFFFF"/>
      <w:spacing w:after="0" w:line="485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43">
    <w:name w:val="Заголовок №4"/>
    <w:basedOn w:val="Normal"/>
    <w:link w:val="42"/>
    <w:uiPriority w:val="99"/>
    <w:rsid w:val="00017FF5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Normal"/>
    <w:link w:val="8"/>
    <w:uiPriority w:val="99"/>
    <w:rsid w:val="00017FF5"/>
    <w:pPr>
      <w:widowControl w:val="0"/>
      <w:shd w:val="clear" w:color="auto" w:fill="FFFFFF"/>
      <w:spacing w:after="0" w:line="480" w:lineRule="exact"/>
    </w:pPr>
    <w:rPr>
      <w:rFonts w:ascii="Times New Roman" w:hAnsi="Times New Roman"/>
      <w:i/>
      <w:iCs/>
      <w:sz w:val="28"/>
      <w:szCs w:val="28"/>
    </w:rPr>
  </w:style>
  <w:style w:type="paragraph" w:customStyle="1" w:styleId="a2">
    <w:name w:val="Подпись к таблице"/>
    <w:basedOn w:val="Normal"/>
    <w:link w:val="a1"/>
    <w:uiPriority w:val="99"/>
    <w:rsid w:val="00017F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paragraph" w:customStyle="1" w:styleId="150">
    <w:name w:val="Основной текст (15)"/>
    <w:basedOn w:val="Normal"/>
    <w:link w:val="15"/>
    <w:uiPriority w:val="99"/>
    <w:rsid w:val="00017FF5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19"/>
      <w:szCs w:val="19"/>
    </w:rPr>
  </w:style>
  <w:style w:type="paragraph" w:customStyle="1" w:styleId="190">
    <w:name w:val="Основной текст (19)"/>
    <w:basedOn w:val="Normal"/>
    <w:link w:val="19"/>
    <w:uiPriority w:val="99"/>
    <w:rsid w:val="00017FF5"/>
    <w:pPr>
      <w:widowControl w:val="0"/>
      <w:shd w:val="clear" w:color="auto" w:fill="FFFFFF"/>
      <w:spacing w:before="300" w:after="0" w:line="240" w:lineRule="atLeast"/>
    </w:pPr>
    <w:rPr>
      <w:rFonts w:ascii="Verdana" w:hAnsi="Verdana" w:cs="Verdana"/>
      <w:i/>
      <w:iCs/>
      <w:sz w:val="8"/>
      <w:szCs w:val="8"/>
    </w:rPr>
  </w:style>
  <w:style w:type="paragraph" w:customStyle="1" w:styleId="200">
    <w:name w:val="Основной текст (20)"/>
    <w:basedOn w:val="Normal"/>
    <w:link w:val="20"/>
    <w:uiPriority w:val="99"/>
    <w:rsid w:val="00017FF5"/>
    <w:pPr>
      <w:widowControl w:val="0"/>
      <w:shd w:val="clear" w:color="auto" w:fill="FFFFFF"/>
      <w:spacing w:before="240" w:after="0" w:line="240" w:lineRule="atLeast"/>
    </w:pPr>
    <w:rPr>
      <w:rFonts w:ascii="Verdana" w:hAnsi="Verdana" w:cs="Verdan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0%d0%8e%d0%a0%d0%86%d0%a1%e2%80%93%d0%a0%d2%91%d0%a0%d1%95%d0%a0%d1%98%d0%a1%e2%80%93%d0%a1%d0%83%d0%a1%e2%80%9a%d0%a1%d0%8a" TargetMode="External"/><Relationship Id="rId13" Type="http://schemas.openxmlformats.org/officeDocument/2006/relationships/hyperlink" Target="http://uk.wikipedia.org/wiki/%d0%a0%e2%80%a0%d0%a0%d0%85%d0%a1%d0%83%d0%a1%d1%93%d0%a0%c2%bb%d0%a1%d0%8a%d0%a1%e2%80%9a" TargetMode="External"/><Relationship Id="rId18" Type="http://schemas.openxmlformats.org/officeDocument/2006/relationships/hyperlink" Target="http://uk.wikipedia.org/wiki/%d0%a0%d1%9b%d0%a1%e2%80%9a%d0%a1%d0%82%d0%a1%d1%93%d0%a1%e2%80%9d%d0%a0%d0%85%d0%a0%d0%85%d0%a1%d0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k.wikipedia.org/wiki/%d0%a0%d1%9b%d0%a1%d0%82%d0%a0%d1%96%d0%a0%c2%b0%d0%a0%d0%85%d0%a1%e2%80%93%d0%a0%c2%b7%d0%a0%d1%98" TargetMode="External"/><Relationship Id="rId12" Type="http://schemas.openxmlformats.org/officeDocument/2006/relationships/hyperlink" Target="http://uk.wikipedia.org/wiki/%d0%a0%c2%a0%d0%a0%c2%b5%d0%a1%e2%80%9e%d0%a0%c2%bb%d0%a0%c2%b5%d0%a0%d1%94%d0%a1%d0%83" TargetMode="External"/><Relationship Id="rId17" Type="http://schemas.openxmlformats.org/officeDocument/2006/relationships/hyperlink" Target="http://uk.wikipedia.org/wiki/%d0%a0%e2%80%a2%d0%a0%d1%97%d0%a1%e2%80%93%d0%a0%c2%bb%d0%a0%c2%b5%d0%a0%d1%97%d0%a1%d0%83%d0%a1%e2%80%93%d0%a1%d0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a0%d0%88%d0%a1%d0%82%d0%a0%c2%b5%d0%a0%d1%98%d0%a1%e2%80%93%d0%a1%d0%8f" TargetMode="External"/><Relationship Id="rId20" Type="http://schemas.openxmlformats.org/officeDocument/2006/relationships/hyperlink" Target="http://uk.wikipedia.org/wiki/%d0%a0%d1%9e%d0%a0%c2%b5%d0%a1%d0%82%d0%a0%d1%98%d0%a1%e2%80%93%d0%a0%d0%85%d0%a0%c2%b0%d0%a0%c2%bb%d0%a1%d0%8a%d0%a0%d0%85%d0%a0%d1%91%d0%a0%e2%84%96_%d0%a1%d0%83%d0%a1%e2%80%9a%d0%a0%c2%b0%d0%a0%d0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0%d0%8e%d0%a0%d1%95%d0%a0%d0%85" TargetMode="External"/><Relationship Id="rId11" Type="http://schemas.openxmlformats.org/officeDocument/2006/relationships/hyperlink" Target="http://uk.wikipedia.org/wiki/%d0%a0%d1%9b%d0%a0%c2%b1%d0%a0%d1%98%d0%a1%e2%80%93%d0%a0%d0%85_%d0%a1%d0%82%d0%a0%c2%b5%d0%a1%e2%80%a1%d0%a0%d1%95%d0%a0%d0%86%d0%a0%d1%91%d0%a0%d0%85" TargetMode="External"/><Relationship Id="rId5" Type="http://schemas.openxmlformats.org/officeDocument/2006/relationships/hyperlink" Target="http://uk.wikipedia.org/wiki/%d0%a0%e2%80%9c%d0%a1%d0%82%d0%a0%c2%b5%d0%a1%e2%80%a0%d0%a1%d0%8a%d0%a0%d1%94%d0%a0%c2%b0_%d0%a0%d1%98%d0%a0%d1%95%d0%a0%d0%86%d0%a0%c2%b0" TargetMode="External"/><Relationship Id="rId15" Type="http://schemas.openxmlformats.org/officeDocument/2006/relationships/hyperlink" Target="http://uk.wikipedia.org/wiki/%d0%a0%e2%80%9c%d0%a0%c2%b5%d0%a0%d1%97%d0%a0%c2%b0%d0%a1%e2%80%9a%d0%a0%d1%91%d0%a1%e2%80%9a" TargetMode="External"/><Relationship Id="rId10" Type="http://schemas.openxmlformats.org/officeDocument/2006/relationships/hyperlink" Target="http://uk.wikipedia.org/wiki/%d0%a0%e2%80%9d%d0%a0%d1%91%d0%a1%e2%80%a6%d0%a0%c2%b0%d0%a0%d0%85%d0%a0%d0%85%d0%a1%d0%8f" TargetMode="External"/><Relationship Id="rId19" Type="http://schemas.openxmlformats.org/officeDocument/2006/relationships/hyperlink" Target="http://uk.wikipedia.org/wiki/%d0%a0%d1%92%d0%a0%c2%bb%d0%a0%d1%94%d0%a0%d1%95%d0%a0%d1%96%d0%a0%d1%95%d0%a0%c2%bb%d0%a1%d0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0%d1%99%d0%a1%d0%82%d0%a0%d1%95%d0%a0%d0%86%d0%a0%d1%95%d0%a0%d1%95%d0%a0%c2%b1%d0%a1%e2%80%93%d0%a0%d1%96" TargetMode="External"/><Relationship Id="rId14" Type="http://schemas.openxmlformats.org/officeDocument/2006/relationships/hyperlink" Target="http://uk.wikipedia.org/wiki/%d0%a0%c2%a6%d0%a1%d1%93%d0%a0%d1%94%d0%a1%d0%82%d0%a0%d1%95%d0%a0%d0%86%d0%a0%d1%91%d0%a0%e2%84%96_%d0%a0%d2%91%d0%a1%e2%80%93%d0%a0%c2%b0%d0%a0%c2%b1%d0%a0%c2%b5%d0%a1%e2%80%9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3148</Words>
  <Characters>17949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Коматозні стани</dc:title>
  <dc:subject/>
  <dc:creator>ADMIN</dc:creator>
  <cp:keywords/>
  <dc:description/>
  <cp:lastModifiedBy>Женя</cp:lastModifiedBy>
  <cp:revision>2</cp:revision>
  <dcterms:created xsi:type="dcterms:W3CDTF">2020-05-08T13:11:00Z</dcterms:created>
  <dcterms:modified xsi:type="dcterms:W3CDTF">2020-05-08T13:11:00Z</dcterms:modified>
</cp:coreProperties>
</file>